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1803" w14:textId="77777777" w:rsidR="00BF439B" w:rsidRDefault="002A085F">
      <w:pPr>
        <w:pStyle w:val="aff5"/>
        <w:ind w:firstLineChars="0" w:firstLine="0"/>
      </w:pPr>
      <w:r>
        <w:rPr>
          <w:rFonts w:hint="eastAsia"/>
        </w:rPr>
        <w:t>团体标准《南亚热带马尾松人工林近自然化改造技术规程》（征求意见稿）编制说明</w:t>
      </w:r>
    </w:p>
    <w:p w14:paraId="1FB3D799" w14:textId="77777777" w:rsidR="00BF439B" w:rsidRDefault="002A085F">
      <w:pPr>
        <w:pStyle w:val="a"/>
        <w:spacing w:before="156" w:after="156"/>
        <w:ind w:firstLine="640"/>
      </w:pPr>
      <w:r>
        <w:rPr>
          <w:rFonts w:hint="eastAsia"/>
        </w:rPr>
        <w:t>项目来源</w:t>
      </w:r>
    </w:p>
    <w:p w14:paraId="5162DE60" w14:textId="77777777" w:rsidR="00BF439B" w:rsidRDefault="002A085F">
      <w:pPr>
        <w:ind w:firstLine="640"/>
      </w:pPr>
      <w:r>
        <w:rPr>
          <w:rFonts w:hint="eastAsia"/>
        </w:rPr>
        <w:t>根据广西标准化协会《关于下达</w:t>
      </w:r>
      <w:r>
        <w:rPr>
          <w:rFonts w:hint="eastAsia"/>
        </w:rPr>
        <w:t>202</w:t>
      </w:r>
      <w:r>
        <w:t>1</w:t>
      </w:r>
      <w:r>
        <w:rPr>
          <w:rFonts w:hint="eastAsia"/>
        </w:rPr>
        <w:t>年第二十七批团体标准制定项目计划的通知》（桂标协〔</w:t>
      </w:r>
      <w:r>
        <w:rPr>
          <w:rFonts w:hint="eastAsia"/>
        </w:rPr>
        <w:t>202</w:t>
      </w:r>
      <w:r>
        <w:t>1</w:t>
      </w:r>
      <w:r>
        <w:rPr>
          <w:rFonts w:hint="eastAsia"/>
        </w:rPr>
        <w:t>〕</w:t>
      </w:r>
      <w:r>
        <w:t>73</w:t>
      </w:r>
      <w:r>
        <w:rPr>
          <w:rFonts w:hint="eastAsia"/>
        </w:rPr>
        <w:t>号）文件精神，由中国林业科学研究院热带林业实验中心提出，中国林业科学研究院热带林业实验中心、中国林业科学研究院森林生态环境与保护研究所、中国林业科学</w:t>
      </w:r>
      <w:r>
        <w:rPr>
          <w:rFonts w:hint="eastAsia"/>
          <w:szCs w:val="32"/>
        </w:rPr>
        <w:t>研究院资源信息研究所、广西大学共同起草的团体标准《南亚热带马尾松人工</w:t>
      </w:r>
      <w:r>
        <w:rPr>
          <w:rFonts w:hint="eastAsia"/>
        </w:rPr>
        <w:t>林近自然化改造技术规程》。</w:t>
      </w:r>
    </w:p>
    <w:p w14:paraId="58F9E1E3" w14:textId="77777777" w:rsidR="00BF439B" w:rsidRDefault="002A085F">
      <w:pPr>
        <w:pStyle w:val="a"/>
        <w:spacing w:before="156" w:after="156"/>
        <w:ind w:firstLine="640"/>
      </w:pPr>
      <w:r>
        <w:rPr>
          <w:rFonts w:hint="eastAsia"/>
        </w:rPr>
        <w:t>项目背景及目的意义</w:t>
      </w:r>
    </w:p>
    <w:p w14:paraId="055BB994" w14:textId="77777777" w:rsidR="00BF439B" w:rsidRDefault="002A085F">
      <w:pPr>
        <w:ind w:firstLine="640"/>
      </w:pPr>
      <w:r>
        <w:rPr>
          <w:rFonts w:hint="eastAsia"/>
        </w:rPr>
        <w:t>我国是世界上人工林保存面积最大的国家，人工林经营应走可持续发展的道路。根据第九次森林资源清查（</w:t>
      </w:r>
      <w:r>
        <w:rPr>
          <w:rFonts w:hint="eastAsia"/>
        </w:rPr>
        <w:t>2014</w:t>
      </w:r>
      <w:r>
        <w:rPr>
          <w:rFonts w:hint="eastAsia"/>
        </w:rPr>
        <w:t>年～</w:t>
      </w:r>
      <w:r>
        <w:rPr>
          <w:rFonts w:hint="eastAsia"/>
        </w:rPr>
        <w:t>2018</w:t>
      </w:r>
      <w:r>
        <w:rPr>
          <w:rFonts w:hint="eastAsia"/>
        </w:rPr>
        <w:t>年），目前我国森林面积</w:t>
      </w:r>
      <w:r>
        <w:rPr>
          <w:rFonts w:hint="eastAsia"/>
        </w:rPr>
        <w:t>22044.62</w:t>
      </w:r>
      <w:r>
        <w:rPr>
          <w:rFonts w:hint="eastAsia"/>
        </w:rPr>
        <w:t>万公顷，森林覆盖率</w:t>
      </w:r>
      <w:r>
        <w:rPr>
          <w:rFonts w:hint="eastAsia"/>
        </w:rPr>
        <w:t>22.96%</w:t>
      </w:r>
      <w:r>
        <w:rPr>
          <w:rFonts w:hint="eastAsia"/>
        </w:rPr>
        <w:t>。全国活立木总蓄积</w:t>
      </w:r>
      <w:r>
        <w:rPr>
          <w:rFonts w:hint="eastAsia"/>
        </w:rPr>
        <w:t>190.07</w:t>
      </w:r>
      <w:r>
        <w:rPr>
          <w:rFonts w:hint="eastAsia"/>
        </w:rPr>
        <w:t>亿立方米，森林蓄积</w:t>
      </w:r>
      <w:r>
        <w:rPr>
          <w:rFonts w:hint="eastAsia"/>
        </w:rPr>
        <w:t>175.60</w:t>
      </w:r>
      <w:r>
        <w:rPr>
          <w:rFonts w:hint="eastAsia"/>
        </w:rPr>
        <w:t>亿立方米。我国森林资源总量继续位居世界前列，森林面积位居世界第</w:t>
      </w:r>
      <w:r>
        <w:rPr>
          <w:rFonts w:hint="eastAsia"/>
        </w:rPr>
        <w:t>5</w:t>
      </w:r>
      <w:r>
        <w:rPr>
          <w:rFonts w:hint="eastAsia"/>
        </w:rPr>
        <w:t>位，森林蓄积位居世界第</w:t>
      </w:r>
      <w:r>
        <w:rPr>
          <w:rFonts w:hint="eastAsia"/>
        </w:rPr>
        <w:t>6</w:t>
      </w:r>
      <w:r>
        <w:rPr>
          <w:rFonts w:hint="eastAsia"/>
        </w:rPr>
        <w:t>位，人工林面积继续位居世界首位。人工林面积</w:t>
      </w:r>
      <w:r>
        <w:rPr>
          <w:rFonts w:hint="eastAsia"/>
        </w:rPr>
        <w:t>7954.28</w:t>
      </w:r>
      <w:r>
        <w:rPr>
          <w:rFonts w:hint="eastAsia"/>
        </w:rPr>
        <w:t>万公顷，占有林地面积的</w:t>
      </w:r>
      <w:r>
        <w:rPr>
          <w:rFonts w:hint="eastAsia"/>
        </w:rPr>
        <w:t>36.45%</w:t>
      </w:r>
      <w:r>
        <w:rPr>
          <w:rFonts w:hint="eastAsia"/>
        </w:rPr>
        <w:t>；人工林蓄积</w:t>
      </w:r>
      <w:r>
        <w:rPr>
          <w:rFonts w:hint="eastAsia"/>
        </w:rPr>
        <w:t>338759.96</w:t>
      </w:r>
      <w:r>
        <w:rPr>
          <w:rFonts w:hint="eastAsia"/>
        </w:rPr>
        <w:t>万立方米，占森林蓄积的</w:t>
      </w:r>
      <w:r>
        <w:rPr>
          <w:rFonts w:hint="eastAsia"/>
        </w:rPr>
        <w:t>19.86%</w:t>
      </w:r>
      <w:r>
        <w:rPr>
          <w:rFonts w:hint="eastAsia"/>
        </w:rPr>
        <w:t>。而广西森林面积</w:t>
      </w:r>
      <w:r>
        <w:rPr>
          <w:rFonts w:hint="eastAsia"/>
        </w:rPr>
        <w:t>1429.6</w:t>
      </w:r>
      <w:r>
        <w:rPr>
          <w:rFonts w:hint="eastAsia"/>
        </w:rPr>
        <w:t>5</w:t>
      </w:r>
      <w:r>
        <w:rPr>
          <w:rFonts w:hint="eastAsia"/>
        </w:rPr>
        <w:t>万公顷，森林覆盖率</w:t>
      </w:r>
      <w:r>
        <w:rPr>
          <w:rFonts w:hint="eastAsia"/>
        </w:rPr>
        <w:t>60.17%</w:t>
      </w:r>
      <w:r>
        <w:rPr>
          <w:rFonts w:hint="eastAsia"/>
        </w:rPr>
        <w:t>，人工林面积占比</w:t>
      </w:r>
      <w:r>
        <w:rPr>
          <w:rFonts w:hint="eastAsia"/>
        </w:rPr>
        <w:t>48.69%</w:t>
      </w:r>
      <w:r>
        <w:rPr>
          <w:rFonts w:hint="eastAsia"/>
        </w:rPr>
        <w:t>。广西人工林主要以马尾松、杉木和桉树等短周期树种为主导，其中，针叶纯林又占主导。人工针叶纯林的树种结构单一，径级结构和垂直结构简单，再</w:t>
      </w:r>
      <w:r>
        <w:rPr>
          <w:rFonts w:hint="eastAsia"/>
        </w:rPr>
        <w:lastRenderedPageBreak/>
        <w:t>加上不合理的经营方式，不仅造成生物多样性锐减，而且降低人工林生物量和生产力，进而影响人工林的固碳能力和潜力。因而，通过疏伐补植的措施将针叶纯林改造成针阔异龄混交的近自然林，正逐渐成为替代大面积针叶人工纯林最有希望的选择途径之一。</w:t>
      </w:r>
    </w:p>
    <w:p w14:paraId="2AEB1CC3" w14:textId="77777777" w:rsidR="00BF439B" w:rsidRDefault="002A085F">
      <w:pPr>
        <w:ind w:firstLine="640"/>
      </w:pPr>
      <w:r>
        <w:rPr>
          <w:rFonts w:hint="eastAsia"/>
        </w:rPr>
        <w:t>在保持森林生态系统结构和功能稳定的基础上，近自然森林经营具有投入成本低、抗灾害能力强的优</w:t>
      </w:r>
      <w:r>
        <w:rPr>
          <w:rFonts w:hint="eastAsia"/>
        </w:rPr>
        <w:t>点，这为人工林近自然化改造的推广应用奠定了现实基础。我国南方现有大面积林分结构简单的人工纯林，由于长期大面积连片经营，出现林分质量和稳定性下降等问题。以往的森林抚育规程主要针对人工纯林，目标主要为木材生产，忽视了生物多样性保护和生态服务功能，不符合可持续经营要求。为此，对这些人工林适宜推广近自然化改造经营，不断优化森林结构，提升林分质量，培育大径级木材。</w:t>
      </w:r>
    </w:p>
    <w:p w14:paraId="18BB2EF2" w14:textId="77777777" w:rsidR="00BF439B" w:rsidRDefault="002A085F">
      <w:pPr>
        <w:ind w:firstLine="640"/>
      </w:pPr>
      <w:r>
        <w:rPr>
          <w:rFonts w:hint="eastAsia"/>
        </w:rPr>
        <w:t>马尾松（</w:t>
      </w:r>
      <w:r>
        <w:rPr>
          <w:rFonts w:hint="eastAsia"/>
          <w:i/>
          <w:iCs/>
        </w:rPr>
        <w:t xml:space="preserve">Pinus </w:t>
      </w:r>
      <w:proofErr w:type="spellStart"/>
      <w:r>
        <w:rPr>
          <w:rFonts w:hint="eastAsia"/>
          <w:i/>
          <w:iCs/>
        </w:rPr>
        <w:t>massoniana</w:t>
      </w:r>
      <w:proofErr w:type="spellEnd"/>
      <w:r>
        <w:rPr>
          <w:rFonts w:hint="eastAsia"/>
        </w:rPr>
        <w:t>）是松科（</w:t>
      </w:r>
      <w:r>
        <w:rPr>
          <w:rFonts w:hint="eastAsia"/>
          <w:i/>
          <w:iCs/>
        </w:rPr>
        <w:t>Pinaceae</w:t>
      </w:r>
      <w:r>
        <w:rPr>
          <w:rFonts w:hint="eastAsia"/>
        </w:rPr>
        <w:t>）松属针叶乔木，是我国南方亚热带地区主要的速生用材树种，在针叶人工林近自然化改造在提升地</w:t>
      </w:r>
      <w:r>
        <w:rPr>
          <w:rFonts w:hint="eastAsia"/>
        </w:rPr>
        <w:t>力，提高林分生产力、碳储量和物种多样性等方面发挥重要作用。通过对马尾松杉木人工林近自然改造经营，实现林分结构的改变及群落组成的改变，进而提升林分的生物量和生产力，影响林分植被碳储量，充分发挥其生态、社会和经济效益，真正实现人工林的可持续经营，人工林近自然化改造必将具有良好的应用前景。</w:t>
      </w:r>
    </w:p>
    <w:p w14:paraId="6004C60A" w14:textId="77777777" w:rsidR="00BF439B" w:rsidRDefault="002A085F">
      <w:pPr>
        <w:pStyle w:val="a"/>
        <w:spacing w:before="156" w:after="156"/>
        <w:ind w:firstLine="640"/>
      </w:pPr>
      <w:r>
        <w:rPr>
          <w:rFonts w:hint="eastAsia"/>
        </w:rPr>
        <w:t>项目编制过程</w:t>
      </w:r>
    </w:p>
    <w:p w14:paraId="322E5C74" w14:textId="77777777" w:rsidR="00BF439B" w:rsidRDefault="002A085F">
      <w:pPr>
        <w:pStyle w:val="a2"/>
        <w:spacing w:before="156" w:after="156"/>
        <w:ind w:firstLine="643"/>
      </w:pPr>
      <w:r>
        <w:rPr>
          <w:rFonts w:hint="eastAsia"/>
        </w:rPr>
        <w:t>成立标准编制工作组</w:t>
      </w:r>
    </w:p>
    <w:p w14:paraId="29FC3396" w14:textId="5718AFF3" w:rsidR="00F6085C" w:rsidRPr="00F6085C" w:rsidRDefault="00F6085C" w:rsidP="00F6085C">
      <w:pPr>
        <w:ind w:firstLine="640"/>
        <w:rPr>
          <w:rFonts w:ascii="仿宋_GB2312" w:hAnsi="宋体" w:hint="eastAsia"/>
          <w:szCs w:val="28"/>
          <w:lang w:val="zh-CN"/>
        </w:rPr>
      </w:pPr>
      <w:r w:rsidRPr="001B08A5">
        <w:rPr>
          <w:rFonts w:ascii="仿宋_GB2312" w:hAnsi="宋体" w:hint="eastAsia"/>
          <w:szCs w:val="28"/>
          <w:lang w:val="zh-CN"/>
        </w:rPr>
        <w:lastRenderedPageBreak/>
        <w:t>团体标准《</w:t>
      </w:r>
      <w:r>
        <w:rPr>
          <w:rFonts w:hint="eastAsia"/>
        </w:rPr>
        <w:t>南亚热带马尾松人工林近自然化改造技术规程</w:t>
      </w:r>
      <w:r w:rsidRPr="001B08A5">
        <w:rPr>
          <w:rFonts w:ascii="仿宋_GB2312" w:hAnsi="宋体" w:hint="eastAsia"/>
          <w:szCs w:val="28"/>
          <w:lang w:val="zh-CN"/>
        </w:rPr>
        <w:t>》项目任务下达后，成立了标准编制工作组，制定了标准编写方案，明确任务职责，确定工作技术路线，开展标准研制工作，具体标准编制工作由</w:t>
      </w:r>
      <w:r>
        <w:rPr>
          <w:rFonts w:hint="eastAsia"/>
        </w:rPr>
        <w:t>中国林业科学研究院热带林业实验中心</w:t>
      </w:r>
      <w:r w:rsidRPr="001B08A5">
        <w:rPr>
          <w:rFonts w:ascii="仿宋_GB2312" w:hAnsi="宋体" w:hint="eastAsia"/>
          <w:szCs w:val="28"/>
          <w:lang w:val="zh-CN"/>
        </w:rPr>
        <w:t>等单位相关人员配合。</w:t>
      </w:r>
    </w:p>
    <w:p w14:paraId="3439D144" w14:textId="77777777" w:rsidR="00BF439B" w:rsidRDefault="002A085F">
      <w:pPr>
        <w:pStyle w:val="a2"/>
        <w:spacing w:before="156" w:after="156"/>
        <w:ind w:firstLine="643"/>
      </w:pPr>
      <w:r>
        <w:rPr>
          <w:rFonts w:hint="eastAsia"/>
        </w:rPr>
        <w:t>收集整理文献资料</w:t>
      </w:r>
    </w:p>
    <w:p w14:paraId="291DE1BD" w14:textId="77777777" w:rsidR="00BF439B" w:rsidRDefault="002A085F">
      <w:pPr>
        <w:ind w:firstLine="640"/>
      </w:pPr>
      <w:r>
        <w:rPr>
          <w:rFonts w:hint="eastAsia"/>
        </w:rPr>
        <w:t>标准编制工作组收集了国内有关马尾松人工林近自然化改造的相关技术文献资料。主要有：</w:t>
      </w:r>
    </w:p>
    <w:p w14:paraId="7A69E6CC" w14:textId="77777777" w:rsidR="00BF439B" w:rsidRDefault="002A085F">
      <w:pPr>
        <w:ind w:firstLine="640"/>
      </w:pPr>
      <w:r>
        <w:rPr>
          <w:rFonts w:hint="eastAsia"/>
        </w:rPr>
        <w:t>LY/T 2617</w:t>
      </w:r>
      <w:r>
        <w:rPr>
          <w:rFonts w:hint="eastAsia"/>
        </w:rPr>
        <w:t>—</w:t>
      </w:r>
      <w:r>
        <w:rPr>
          <w:rFonts w:hint="eastAsia"/>
        </w:rPr>
        <w:t xml:space="preserve">2016 </w:t>
      </w:r>
      <w:r>
        <w:rPr>
          <w:rFonts w:hint="eastAsia"/>
        </w:rPr>
        <w:t>红椎目标树选择技术规程</w:t>
      </w:r>
    </w:p>
    <w:p w14:paraId="4BC829D4" w14:textId="4F800278" w:rsidR="00BF439B" w:rsidRDefault="002A085F">
      <w:pPr>
        <w:pStyle w:val="a2"/>
        <w:spacing w:before="156" w:after="156"/>
        <w:ind w:firstLine="643"/>
      </w:pPr>
      <w:r>
        <w:rPr>
          <w:rFonts w:hint="eastAsia"/>
        </w:rPr>
        <w:t>研讨确定标准主体内容</w:t>
      </w:r>
    </w:p>
    <w:p w14:paraId="7CEBA229" w14:textId="1D27B566" w:rsidR="00F6085C" w:rsidRPr="00F6085C" w:rsidRDefault="00F6085C" w:rsidP="00F6085C">
      <w:pPr>
        <w:pStyle w:val="a2"/>
        <w:numPr>
          <w:ilvl w:val="0"/>
          <w:numId w:val="0"/>
        </w:numPr>
        <w:spacing w:before="156" w:after="156"/>
        <w:ind w:firstLineChars="200" w:firstLine="640"/>
        <w:rPr>
          <w:rFonts w:ascii="仿宋_GB2312" w:eastAsia="仿宋_GB2312" w:hAnsi="宋体" w:cs="Times New Roman" w:hint="eastAsia"/>
          <w:b w:val="0"/>
          <w:szCs w:val="28"/>
          <w:lang w:val="zh-CN"/>
        </w:rPr>
      </w:pPr>
      <w:r w:rsidRPr="00F6085C">
        <w:rPr>
          <w:rFonts w:ascii="仿宋_GB2312" w:eastAsia="仿宋_GB2312" w:hAnsi="宋体" w:cs="Times New Roman" w:hint="eastAsia"/>
          <w:b w:val="0"/>
          <w:szCs w:val="28"/>
          <w:lang w:val="zh-CN"/>
        </w:rPr>
        <w:t>标准编制工作组在对收集的资料进行整理研究后，标准编制工作组召开了标准编制会议，对标准的整体框架进行了研究，并对标准的关键性问题进行了初步探讨。经过研究，标准的主体内容包括术语和定义、总则、林分选择、改造前目标树选择、开建林窗、林下补植、复层林经营、补植目标树经营管理、目标树择伐和档案管理等。</w:t>
      </w:r>
    </w:p>
    <w:p w14:paraId="549ABE36" w14:textId="4D886580" w:rsidR="00F6085C" w:rsidRDefault="00F6085C">
      <w:pPr>
        <w:pStyle w:val="a2"/>
        <w:spacing w:before="156" w:after="156"/>
        <w:ind w:firstLine="643"/>
      </w:pPr>
      <w:r w:rsidRPr="00BD62CB">
        <w:rPr>
          <w:rFonts w:ascii="楷体" w:hAnsi="楷体" w:hint="eastAsia"/>
          <w:lang w:val="zh-CN"/>
        </w:rPr>
        <w:t>形成文本草案、征求意见稿</w:t>
      </w:r>
      <w:r>
        <w:rPr>
          <w:rFonts w:ascii="楷体" w:hAnsi="楷体" w:hint="eastAsia"/>
          <w:lang w:val="zh-CN"/>
        </w:rPr>
        <w:t>、送审稿</w:t>
      </w:r>
    </w:p>
    <w:p w14:paraId="26540209" w14:textId="3F85BA56" w:rsidR="00C91048" w:rsidRDefault="00C91048">
      <w:pPr>
        <w:ind w:firstLine="640"/>
      </w:pPr>
      <w:r w:rsidRPr="00C91048">
        <w:rPr>
          <w:rFonts w:hint="eastAsia"/>
        </w:rPr>
        <w:t>2021</w:t>
      </w:r>
      <w:r w:rsidRPr="00C91048">
        <w:rPr>
          <w:rFonts w:hint="eastAsia"/>
        </w:rPr>
        <w:t>年</w:t>
      </w:r>
      <w:r>
        <w:t>10</w:t>
      </w:r>
      <w:r w:rsidRPr="00C91048">
        <w:rPr>
          <w:rFonts w:hint="eastAsia"/>
        </w:rPr>
        <w:t>月，标准起草工作小组进行了广泛实地调研工作，查阅了大量的国内外文献资料，对</w:t>
      </w:r>
      <w:r>
        <w:rPr>
          <w:rFonts w:hint="eastAsia"/>
        </w:rPr>
        <w:t>马尾松人工林近自然化改造</w:t>
      </w:r>
      <w:r w:rsidRPr="00C91048">
        <w:rPr>
          <w:rFonts w:hint="eastAsia"/>
        </w:rPr>
        <w:t>技术进行系统总结。经编制组反复讨论，形成了标准的基本构架，对主要内容进行了讨论并对项目的工作进行了部署和安排。在前期工作的基础之上，通过理清逻辑脉络，整合已有</w:t>
      </w:r>
      <w:r w:rsidRPr="00C91048">
        <w:rPr>
          <w:rFonts w:hint="eastAsia"/>
        </w:rPr>
        <w:lastRenderedPageBreak/>
        <w:t>的参考资料中有关</w:t>
      </w:r>
      <w:r>
        <w:rPr>
          <w:rFonts w:hint="eastAsia"/>
        </w:rPr>
        <w:t>马尾松人工林近自然化改造</w:t>
      </w:r>
      <w:r w:rsidRPr="00C91048">
        <w:rPr>
          <w:rFonts w:hint="eastAsia"/>
        </w:rPr>
        <w:t>技术，并结合实际要求的基础上，按照简化、统一等原则编制完成团体标准《</w:t>
      </w:r>
      <w:r>
        <w:rPr>
          <w:rFonts w:hint="eastAsia"/>
        </w:rPr>
        <w:t>南亚热带马尾松人工林近自然化改造技术规程</w:t>
      </w:r>
      <w:r w:rsidRPr="00C91048">
        <w:rPr>
          <w:rFonts w:hint="eastAsia"/>
        </w:rPr>
        <w:t>》（草案）。</w:t>
      </w:r>
    </w:p>
    <w:p w14:paraId="7675438A" w14:textId="77777777" w:rsidR="00BF439B" w:rsidRDefault="002A085F">
      <w:pPr>
        <w:ind w:firstLine="640"/>
      </w:pPr>
      <w:r>
        <w:rPr>
          <w:rFonts w:hint="eastAsia"/>
        </w:rPr>
        <w:t>202</w:t>
      </w:r>
      <w:r>
        <w:t>1</w:t>
      </w:r>
      <w:r>
        <w:rPr>
          <w:rFonts w:hint="eastAsia"/>
        </w:rPr>
        <w:t>年</w:t>
      </w:r>
      <w:r>
        <w:t>10</w:t>
      </w:r>
      <w:r>
        <w:rPr>
          <w:rFonts w:hint="eastAsia"/>
        </w:rPr>
        <w:t>～</w:t>
      </w:r>
      <w:r>
        <w:rPr>
          <w:rFonts w:hint="eastAsia"/>
        </w:rPr>
        <w:t>1</w:t>
      </w:r>
      <w:r>
        <w:t>1</w:t>
      </w:r>
      <w:r>
        <w:rPr>
          <w:rFonts w:hint="eastAsia"/>
        </w:rPr>
        <w:t>月，向区内涉及领域的部门及相关专家征求团体标准《南亚热带马尾松人工林近自然化改造技术规程》（草案）意见。</w:t>
      </w:r>
    </w:p>
    <w:p w14:paraId="0BACFAB3" w14:textId="77777777" w:rsidR="00BF439B" w:rsidRDefault="002A085F">
      <w:pPr>
        <w:ind w:firstLine="640"/>
      </w:pPr>
      <w:r>
        <w:rPr>
          <w:rFonts w:hint="eastAsia"/>
        </w:rPr>
        <w:t>202</w:t>
      </w:r>
      <w:r>
        <w:t>1</w:t>
      </w:r>
      <w:r>
        <w:rPr>
          <w:rFonts w:hint="eastAsia"/>
        </w:rPr>
        <w:t>年</w:t>
      </w:r>
      <w:r>
        <w:t>11</w:t>
      </w:r>
      <w:r>
        <w:rPr>
          <w:rFonts w:hint="eastAsia"/>
        </w:rPr>
        <w:t>～</w:t>
      </w:r>
      <w:r>
        <w:rPr>
          <w:rFonts w:hint="eastAsia"/>
        </w:rPr>
        <w:t>1</w:t>
      </w:r>
      <w:r>
        <w:t>2</w:t>
      </w:r>
      <w:r>
        <w:rPr>
          <w:rFonts w:hint="eastAsia"/>
        </w:rPr>
        <w:t>月，标准组深入华南地区有代表性的各马尾松人工林场实地调研，并实地征求团体标准《南亚热带马尾松人工林近自然化改造技术规程》（草案）意见。</w:t>
      </w:r>
    </w:p>
    <w:p w14:paraId="061A585B" w14:textId="06B5593C" w:rsidR="00BF439B" w:rsidRDefault="002A085F">
      <w:pPr>
        <w:ind w:firstLine="640"/>
      </w:pPr>
      <w:r>
        <w:rPr>
          <w:rFonts w:hint="eastAsia"/>
        </w:rPr>
        <w:t>202</w:t>
      </w:r>
      <w:r>
        <w:t>1</w:t>
      </w:r>
      <w:r>
        <w:rPr>
          <w:rFonts w:hint="eastAsia"/>
        </w:rPr>
        <w:t>年</w:t>
      </w:r>
      <w:r>
        <w:rPr>
          <w:rFonts w:hint="eastAsia"/>
        </w:rPr>
        <w:t>1</w:t>
      </w:r>
      <w:r>
        <w:t>2</w:t>
      </w:r>
      <w:r>
        <w:rPr>
          <w:rFonts w:hint="eastAsia"/>
        </w:rPr>
        <w:t>月，标准编制工作组在中国林业</w:t>
      </w:r>
      <w:r>
        <w:rPr>
          <w:rFonts w:hint="eastAsia"/>
        </w:rPr>
        <w:t>科学研究院热带林业实验中心会议室组织涉及的部门专家对团体标准《南亚热带马尾松人工林近自然化改造技术规程》（草案）进行征求意见会。</w:t>
      </w:r>
      <w:r w:rsidR="00C91048" w:rsidRPr="001B08A5">
        <w:rPr>
          <w:rFonts w:ascii="仿宋_GB2312" w:hAnsi="宋体" w:hint="eastAsia"/>
          <w:szCs w:val="28"/>
          <w:lang w:val="zh-CN"/>
        </w:rPr>
        <w:t>最终形成了团体标准《</w:t>
      </w:r>
      <w:r w:rsidR="00C91048">
        <w:rPr>
          <w:rFonts w:hint="eastAsia"/>
        </w:rPr>
        <w:t>南亚热带马尾松人工林近自然化改造技术规程</w:t>
      </w:r>
      <w:r w:rsidR="00C91048" w:rsidRPr="001B08A5">
        <w:rPr>
          <w:rFonts w:ascii="仿宋_GB2312" w:hAnsi="宋体" w:hint="eastAsia"/>
          <w:szCs w:val="28"/>
          <w:lang w:val="zh-CN"/>
        </w:rPr>
        <w:t>》（送审稿）、（送审稿）编制说明以及征求意见处理汇总表</w:t>
      </w:r>
      <w:r>
        <w:rPr>
          <w:rFonts w:hint="eastAsia"/>
        </w:rPr>
        <w:t>。</w:t>
      </w:r>
    </w:p>
    <w:p w14:paraId="3BBC5ECB" w14:textId="77777777" w:rsidR="00BF439B" w:rsidRDefault="002A085F">
      <w:pPr>
        <w:pStyle w:val="a"/>
        <w:spacing w:before="156" w:after="156"/>
        <w:ind w:firstLine="640"/>
      </w:pPr>
      <w:bookmarkStart w:id="0" w:name="_Toc526940083"/>
      <w:r>
        <w:rPr>
          <w:rFonts w:hint="eastAsia"/>
        </w:rPr>
        <w:t>标准制定原则</w:t>
      </w:r>
      <w:bookmarkEnd w:id="0"/>
    </w:p>
    <w:p w14:paraId="448D7361" w14:textId="77777777" w:rsidR="00BF439B" w:rsidRDefault="002A085F">
      <w:pPr>
        <w:pStyle w:val="a2"/>
        <w:numPr>
          <w:ilvl w:val="0"/>
          <w:numId w:val="12"/>
        </w:numPr>
        <w:spacing w:before="156" w:after="156"/>
        <w:ind w:firstLineChars="0"/>
      </w:pPr>
      <w:r>
        <w:rPr>
          <w:rFonts w:hint="eastAsia"/>
        </w:rPr>
        <w:t>实用性原则</w:t>
      </w:r>
    </w:p>
    <w:p w14:paraId="01901DB8" w14:textId="77777777" w:rsidR="00BF439B" w:rsidRDefault="002A085F">
      <w:pPr>
        <w:ind w:firstLine="640"/>
      </w:pPr>
      <w:r>
        <w:rPr>
          <w:rFonts w:hint="eastAsia"/>
        </w:rPr>
        <w:t>本文件中有关南亚热带马尾松人工林近自然化改造技术内容及要求的规定，是在充分收集相关资料和文献，分析南亚热带区域马尾松人工林近自然化改造技术现状，调研南亚热带马尾松人工林近自然化改造经营情况的基础上，进行制定。符合当前南亚热带马尾松人工林近自然化改造技术发展水平，具有</w:t>
      </w:r>
      <w:r>
        <w:rPr>
          <w:rFonts w:hint="eastAsia"/>
        </w:rPr>
        <w:t>较强的实用性和可操作性。</w:t>
      </w:r>
    </w:p>
    <w:p w14:paraId="10D0C848" w14:textId="77777777" w:rsidR="00BF439B" w:rsidRDefault="002A085F">
      <w:pPr>
        <w:pStyle w:val="a2"/>
        <w:spacing w:before="156" w:after="156"/>
        <w:ind w:firstLine="643"/>
      </w:pPr>
      <w:r>
        <w:rPr>
          <w:rFonts w:hint="eastAsia"/>
        </w:rPr>
        <w:lastRenderedPageBreak/>
        <w:t>协调性原则</w:t>
      </w:r>
    </w:p>
    <w:p w14:paraId="34A01A9F" w14:textId="77777777" w:rsidR="00BF439B" w:rsidRDefault="002A085F">
      <w:pPr>
        <w:ind w:firstLine="640"/>
      </w:pPr>
      <w:r>
        <w:rPr>
          <w:rFonts w:hint="eastAsia"/>
        </w:rPr>
        <w:t>本在标准编写过程中注意了与马尾松人工林近自然化改造技术相关法律法规、标准的协调问题，在内容上与现行法律法规、标准协调一致。</w:t>
      </w:r>
    </w:p>
    <w:p w14:paraId="7D2A0808" w14:textId="77777777" w:rsidR="00BF439B" w:rsidRDefault="002A085F">
      <w:pPr>
        <w:pStyle w:val="a2"/>
        <w:spacing w:before="156" w:after="156"/>
        <w:ind w:firstLine="643"/>
      </w:pPr>
      <w:r>
        <w:rPr>
          <w:rFonts w:hint="eastAsia"/>
        </w:rPr>
        <w:t>规范性原则</w:t>
      </w:r>
    </w:p>
    <w:p w14:paraId="5083214A" w14:textId="77777777" w:rsidR="00BF439B" w:rsidRDefault="002A085F">
      <w:pPr>
        <w:ind w:firstLine="640"/>
      </w:pPr>
      <w:r>
        <w:rPr>
          <w:rFonts w:hint="eastAsia"/>
        </w:rPr>
        <w:t>本文件严格按照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部分：标准化文件的结构和起草规则》的要求和规定编写本文件的内容，保证标准的编写质量。</w:t>
      </w:r>
    </w:p>
    <w:p w14:paraId="51A0F836" w14:textId="77777777" w:rsidR="00BF439B" w:rsidRDefault="002A085F">
      <w:pPr>
        <w:pStyle w:val="a2"/>
        <w:spacing w:before="156" w:after="156"/>
        <w:ind w:firstLine="643"/>
      </w:pPr>
      <w:r>
        <w:rPr>
          <w:rFonts w:hint="eastAsia"/>
        </w:rPr>
        <w:t>前瞻性原则</w:t>
      </w:r>
    </w:p>
    <w:p w14:paraId="275F11C6" w14:textId="45B9F0B7" w:rsidR="00BF439B" w:rsidRDefault="002A085F">
      <w:pPr>
        <w:ind w:firstLine="640"/>
      </w:pPr>
      <w:r>
        <w:rPr>
          <w:rFonts w:hint="eastAsia"/>
        </w:rPr>
        <w:t>本文件在兼顾当前我国南亚热带区域马尾松人工林近自然化改造的现实情况的同时，还考虑到了其马尾松人工林近自然化改造技术行业快速发展的趋势和需要，在标准中体现了防治措施的个别特色性、前瞻性和先进性条款，作为对</w:t>
      </w:r>
      <w:r w:rsidR="002110BA">
        <w:rPr>
          <w:rFonts w:hint="eastAsia"/>
        </w:rPr>
        <w:t>人工林近自然化改造技术</w:t>
      </w:r>
      <w:r>
        <w:rPr>
          <w:rFonts w:hint="eastAsia"/>
        </w:rPr>
        <w:t>发展的引导。</w:t>
      </w:r>
    </w:p>
    <w:p w14:paraId="0539B0D3" w14:textId="77777777" w:rsidR="00BF439B" w:rsidRDefault="002A085F">
      <w:pPr>
        <w:pStyle w:val="a"/>
        <w:spacing w:before="156" w:after="156"/>
        <w:ind w:firstLine="640"/>
      </w:pPr>
      <w:r>
        <w:rPr>
          <w:rFonts w:hint="eastAsia"/>
        </w:rPr>
        <w:t>标准主要章节内容及确定依据</w:t>
      </w:r>
    </w:p>
    <w:p w14:paraId="1141449B" w14:textId="77777777" w:rsidR="00BF439B" w:rsidRDefault="002A085F">
      <w:pPr>
        <w:ind w:firstLine="640"/>
      </w:pPr>
      <w:r>
        <w:rPr>
          <w:rFonts w:hint="eastAsia"/>
        </w:rPr>
        <w:t>团体标准《南亚热带马尾松人工林近自然化改造技术规程》主要内容包括</w:t>
      </w:r>
      <w:bookmarkStart w:id="1" w:name="_Hlk88841920"/>
      <w:r>
        <w:rPr>
          <w:rFonts w:hint="eastAsia"/>
        </w:rPr>
        <w:t>术语和定义、总则、林分选择、</w:t>
      </w:r>
      <w:r>
        <w:rPr>
          <w:rFonts w:hint="eastAsia"/>
        </w:rPr>
        <w:t>改造前目标树选择、开建林窗、林下补植、复层林经营、补植目标树经营管理、目标树择伐和档案管理等</w:t>
      </w:r>
      <w:bookmarkEnd w:id="1"/>
      <w:r>
        <w:rPr>
          <w:rFonts w:hint="eastAsia"/>
        </w:rPr>
        <w:t>。</w:t>
      </w:r>
    </w:p>
    <w:p w14:paraId="0FF19965" w14:textId="77777777" w:rsidR="00BF439B" w:rsidRDefault="002A085F">
      <w:pPr>
        <w:ind w:firstLine="640"/>
      </w:pPr>
      <w:r>
        <w:rPr>
          <w:rFonts w:hint="eastAsia"/>
        </w:rPr>
        <w:t>其中术语和定义多功能人工林主要依据《</w:t>
      </w:r>
      <w:r>
        <w:rPr>
          <w:rFonts w:hint="eastAsia"/>
        </w:rPr>
        <w:t>LY/T 2765-2016</w:t>
      </w:r>
      <w:r>
        <w:rPr>
          <w:rFonts w:hint="eastAsia"/>
        </w:rPr>
        <w:t xml:space="preserve"> </w:t>
      </w:r>
      <w:r>
        <w:rPr>
          <w:rFonts w:hint="eastAsia"/>
        </w:rPr>
        <w:t>南亚热带马尾松人工林碳增汇减排经营技术规程》。</w:t>
      </w:r>
    </w:p>
    <w:p w14:paraId="42967C2D" w14:textId="77777777" w:rsidR="00BF439B" w:rsidRDefault="002A085F">
      <w:pPr>
        <w:ind w:firstLine="640"/>
      </w:pPr>
      <w:r>
        <w:rPr>
          <w:rFonts w:hint="eastAsia"/>
        </w:rPr>
        <w:t>马尾松由于长期进行纯林经营，使得马尾松人工林生态系</w:t>
      </w:r>
      <w:r>
        <w:rPr>
          <w:rFonts w:hint="eastAsia"/>
        </w:rPr>
        <w:lastRenderedPageBreak/>
        <w:t>统比较脆弱，立地衰退日益明显，层次结构简单，容易收到松毛虫侵害，火灾频率增加，林分生产力下降，严重威胁着林地的可持续经营。因此，对马尾松人工林进行自然改造达到以下目标：</w:t>
      </w:r>
    </w:p>
    <w:p w14:paraId="2226A4F0" w14:textId="77777777" w:rsidR="00BF439B" w:rsidRDefault="002A085F">
      <w:pPr>
        <w:ind w:firstLine="640"/>
      </w:pPr>
      <w:r>
        <w:rPr>
          <w:rFonts w:hint="eastAsia"/>
        </w:rPr>
        <w:t>——</w:t>
      </w:r>
      <w:r>
        <w:rPr>
          <w:rFonts w:hint="eastAsia"/>
        </w:rPr>
        <w:tab/>
      </w:r>
      <w:r>
        <w:rPr>
          <w:rFonts w:hint="eastAsia"/>
        </w:rPr>
        <w:t>以马尾松为建群种，下层乡土珍优阔叶树种能实现稳定的天然更新，逐步形成多树种、多层次的松阔异龄混交林。</w:t>
      </w:r>
    </w:p>
    <w:p w14:paraId="3F9255D1" w14:textId="77777777" w:rsidR="00BF439B" w:rsidRDefault="002A085F">
      <w:pPr>
        <w:ind w:firstLine="640"/>
      </w:pPr>
      <w:r>
        <w:rPr>
          <w:rFonts w:hint="eastAsia"/>
        </w:rPr>
        <w:t>——</w:t>
      </w:r>
      <w:r>
        <w:rPr>
          <w:rFonts w:hint="eastAsia"/>
        </w:rPr>
        <w:tab/>
      </w:r>
      <w:r>
        <w:rPr>
          <w:rFonts w:hint="eastAsia"/>
        </w:rPr>
        <w:t>前期培育马尾松特大径材（目标直径≥</w:t>
      </w:r>
      <w:r>
        <w:rPr>
          <w:rFonts w:hint="eastAsia"/>
        </w:rPr>
        <w:t>50 cm</w:t>
      </w:r>
      <w:r>
        <w:rPr>
          <w:rFonts w:hint="eastAsia"/>
        </w:rPr>
        <w:t>以上），后期培育乡土珍优阔叶树种大径材（目标直径≥</w:t>
      </w:r>
      <w:r>
        <w:rPr>
          <w:rFonts w:hint="eastAsia"/>
        </w:rPr>
        <w:t>60 cm</w:t>
      </w:r>
      <w:r>
        <w:rPr>
          <w:rFonts w:hint="eastAsia"/>
        </w:rPr>
        <w:t>）。</w:t>
      </w:r>
    </w:p>
    <w:p w14:paraId="6BF30977" w14:textId="26517CE9" w:rsidR="00BF439B" w:rsidRDefault="002A085F">
      <w:pPr>
        <w:ind w:firstLine="640"/>
      </w:pPr>
      <w:r>
        <w:rPr>
          <w:rFonts w:hint="eastAsia"/>
        </w:rPr>
        <w:t>——</w:t>
      </w:r>
      <w:r>
        <w:rPr>
          <w:rFonts w:hint="eastAsia"/>
        </w:rPr>
        <w:tab/>
      </w:r>
      <w:r>
        <w:rPr>
          <w:rFonts w:hint="eastAsia"/>
        </w:rPr>
        <w:t>解决传统经营模</w:t>
      </w:r>
      <w:r>
        <w:rPr>
          <w:rFonts w:hint="eastAsia"/>
        </w:rPr>
        <w:t>式下的马尾松人工纯林生物多样性下降，地力衰退，生态系统稳定性差，经营风险大等问题，实现林地连续植被覆盖和可持续经营。</w:t>
      </w:r>
    </w:p>
    <w:p w14:paraId="65BF1290" w14:textId="6B842569" w:rsidR="00BF439B" w:rsidRDefault="002A085F">
      <w:pPr>
        <w:ind w:firstLine="640"/>
      </w:pPr>
      <w:r>
        <w:rPr>
          <w:rFonts w:hint="eastAsia"/>
        </w:rPr>
        <w:t>林分选择林龄为</w:t>
      </w:r>
      <w:r>
        <w:rPr>
          <w:rFonts w:hint="eastAsia"/>
        </w:rPr>
        <w:t>1</w:t>
      </w:r>
      <w:r>
        <w:t>4</w:t>
      </w:r>
      <w:r>
        <w:rPr>
          <w:rFonts w:hint="eastAsia"/>
        </w:rPr>
        <w:t>～</w:t>
      </w:r>
      <w:r>
        <w:rPr>
          <w:rFonts w:hint="eastAsia"/>
        </w:rPr>
        <w:t>1</w:t>
      </w:r>
      <w:r>
        <w:t>6</w:t>
      </w:r>
      <w:r>
        <w:rPr>
          <w:rFonts w:hint="eastAsia"/>
        </w:rPr>
        <w:t>年的马尾松人工纯林，</w:t>
      </w:r>
      <w:r>
        <w:rPr>
          <w:rFonts w:hint="eastAsia"/>
        </w:rPr>
        <w:t>此时马尾松</w:t>
      </w:r>
      <w:r>
        <w:rPr>
          <w:rFonts w:hint="eastAsia"/>
        </w:rPr>
        <w:t>优势木平均树高大于</w:t>
      </w:r>
      <w:r>
        <w:rPr>
          <w:rFonts w:hint="eastAsia"/>
        </w:rPr>
        <w:t>1</w:t>
      </w:r>
      <w:r>
        <w:t>5</w:t>
      </w:r>
      <w:r>
        <w:rPr>
          <w:rFonts w:hint="eastAsia"/>
        </w:rPr>
        <w:t>m</w:t>
      </w:r>
      <w:r>
        <w:rPr>
          <w:rFonts w:hint="eastAsia"/>
        </w:rPr>
        <w:t>，胸径</w:t>
      </w:r>
      <w:r>
        <w:rPr>
          <w:rFonts w:hint="eastAsia"/>
        </w:rPr>
        <w:t>大于</w:t>
      </w:r>
      <w:r>
        <w:rPr>
          <w:rFonts w:hint="eastAsia"/>
        </w:rPr>
        <w:t>17cm</w:t>
      </w:r>
      <w:r>
        <w:rPr>
          <w:rFonts w:hint="eastAsia"/>
        </w:rPr>
        <w:t>，郁闭度达</w:t>
      </w:r>
      <w:r>
        <w:rPr>
          <w:rFonts w:hint="eastAsia"/>
        </w:rPr>
        <w:t>0.8</w:t>
      </w:r>
      <w:r>
        <w:rPr>
          <w:rFonts w:hint="eastAsia"/>
        </w:rPr>
        <w:t>以上，立地指数大于</w:t>
      </w:r>
      <w:r>
        <w:rPr>
          <w:rFonts w:hint="eastAsia"/>
        </w:rPr>
        <w:t>18</w:t>
      </w:r>
      <w:r>
        <w:rPr>
          <w:rFonts w:hint="eastAsia"/>
        </w:rPr>
        <w:t>，严重影响了下层物种多样性。</w:t>
      </w:r>
    </w:p>
    <w:p w14:paraId="6E3813B9" w14:textId="7AD8013B" w:rsidR="00BF439B" w:rsidRDefault="002A085F">
      <w:pPr>
        <w:ind w:firstLine="560"/>
        <w:jc w:val="center"/>
        <w:rPr>
          <w:sz w:val="28"/>
          <w:szCs w:val="28"/>
        </w:rPr>
      </w:pPr>
      <w:r>
        <w:rPr>
          <w:rFonts w:hint="eastAsia"/>
          <w:sz w:val="28"/>
          <w:szCs w:val="28"/>
        </w:rPr>
        <w:t>表</w:t>
      </w:r>
      <w:r>
        <w:rPr>
          <w:rFonts w:hint="eastAsia"/>
          <w:sz w:val="28"/>
          <w:szCs w:val="28"/>
        </w:rPr>
        <w:t xml:space="preserve">1 </w:t>
      </w:r>
      <w:r>
        <w:rPr>
          <w:rFonts w:hint="eastAsia"/>
          <w:sz w:val="28"/>
          <w:szCs w:val="28"/>
        </w:rPr>
        <w:t>试验区（热林中心伏波实验场）马尾松人工林样地概况</w:t>
      </w:r>
    </w:p>
    <w:p w14:paraId="7859923F" w14:textId="60DBC501" w:rsidR="00BF439B" w:rsidRDefault="00774C21" w:rsidP="00774C21">
      <w:pPr>
        <w:spacing w:line="240" w:lineRule="auto"/>
        <w:ind w:firstLineChars="0" w:firstLine="0"/>
        <w:jc w:val="center"/>
      </w:pPr>
      <w:r>
        <w:rPr>
          <w:rFonts w:hint="eastAsia"/>
          <w:noProof/>
        </w:rPr>
        <w:drawing>
          <wp:inline distT="0" distB="0" distL="0" distR="0" wp14:anchorId="6A21A19C" wp14:editId="2741CD3E">
            <wp:extent cx="5684520" cy="1722120"/>
            <wp:effectExtent l="0" t="0" r="0" b="0"/>
            <wp:docPr id="2" name="图片 2" descr="微信截图_2021112615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21112615414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684520" cy="1722120"/>
                    </a:xfrm>
                    <a:prstGeom prst="rect">
                      <a:avLst/>
                    </a:prstGeom>
                  </pic:spPr>
                </pic:pic>
              </a:graphicData>
            </a:graphic>
          </wp:inline>
        </w:drawing>
      </w:r>
    </w:p>
    <w:p w14:paraId="1F4C6669" w14:textId="6CFADA44" w:rsidR="00BF439B" w:rsidRDefault="002A085F">
      <w:pPr>
        <w:ind w:firstLine="640"/>
      </w:pPr>
      <w:r>
        <w:rPr>
          <w:rFonts w:hint="eastAsia"/>
        </w:rPr>
        <w:t>目标树、辅助树、干扰树和其他树的选择标准依据《</w:t>
      </w:r>
      <w:r>
        <w:rPr>
          <w:rFonts w:hint="eastAsia"/>
        </w:rPr>
        <w:t>G</w:t>
      </w:r>
      <w:r>
        <w:t>B/T 15781</w:t>
      </w:r>
      <w:r>
        <w:rPr>
          <w:rFonts w:hint="eastAsia"/>
        </w:rPr>
        <w:t>森林抚育规程</w:t>
      </w:r>
      <w:r>
        <w:rPr>
          <w:rFonts w:hint="eastAsia"/>
        </w:rPr>
        <w:t>》。</w:t>
      </w:r>
    </w:p>
    <w:p w14:paraId="510196CC" w14:textId="77777777" w:rsidR="00BF439B" w:rsidRDefault="002A085F">
      <w:pPr>
        <w:ind w:firstLine="640"/>
      </w:pPr>
      <w:r>
        <w:rPr>
          <w:rFonts w:hint="eastAsia"/>
        </w:rPr>
        <w:t>根据主要林分不同发育阶段下目标树合理保留株数对应表</w:t>
      </w:r>
      <w:r>
        <w:rPr>
          <w:rFonts w:hint="eastAsia"/>
        </w:rPr>
        <w:lastRenderedPageBreak/>
        <w:t>（表</w:t>
      </w:r>
      <w:r>
        <w:rPr>
          <w:rFonts w:hint="eastAsia"/>
        </w:rPr>
        <w:t>1</w:t>
      </w:r>
      <w:r>
        <w:rPr>
          <w:rFonts w:hint="eastAsia"/>
        </w:rPr>
        <w:t>），马尾松林在近自然阶段下（树</w:t>
      </w:r>
      <w:r>
        <w:rPr>
          <w:rFonts w:hint="eastAsia"/>
        </w:rPr>
        <w:t>高</w:t>
      </w:r>
      <w:r>
        <w:rPr>
          <w:rFonts w:hint="eastAsia"/>
        </w:rPr>
        <w:t xml:space="preserve"> H</w:t>
      </w:r>
      <w:r>
        <w:rPr>
          <w:rFonts w:hint="eastAsia"/>
        </w:rPr>
        <w:t>≥</w:t>
      </w:r>
      <w:r>
        <w:rPr>
          <w:rFonts w:hint="eastAsia"/>
        </w:rPr>
        <w:t>1</w:t>
      </w:r>
      <w:r>
        <w:t xml:space="preserve">5 </w:t>
      </w:r>
      <w:r>
        <w:rPr>
          <w:rFonts w:hint="eastAsia"/>
        </w:rPr>
        <w:t>m</w:t>
      </w:r>
      <w:r>
        <w:rPr>
          <w:rFonts w:hint="eastAsia"/>
        </w:rPr>
        <w:t>）对应合理保留目标树株树应不小于</w:t>
      </w:r>
      <w:r>
        <w:t>80</w:t>
      </w:r>
      <w:r>
        <w:rPr>
          <w:rFonts w:hint="eastAsia"/>
        </w:rPr>
        <w:t>株</w:t>
      </w:r>
      <w:r>
        <w:rPr>
          <w:rFonts w:hint="eastAsia"/>
        </w:rPr>
        <w:t>/hm</w:t>
      </w:r>
      <w:r>
        <w:rPr>
          <w:vertAlign w:val="superscript"/>
        </w:rPr>
        <w:t>2</w:t>
      </w:r>
      <w:r>
        <w:rPr>
          <w:rFonts w:hint="eastAsia"/>
        </w:rPr>
        <w:t>。考虑到目标树密度不宜过小，故将目标树株数设置为每公顷</w:t>
      </w:r>
      <w:r>
        <w:rPr>
          <w:rFonts w:hint="eastAsia"/>
        </w:rPr>
        <w:t>9</w:t>
      </w:r>
      <w:r>
        <w:t>0</w:t>
      </w:r>
      <w:r>
        <w:rPr>
          <w:rFonts w:hint="eastAsia"/>
        </w:rPr>
        <w:t>～</w:t>
      </w:r>
      <w:r>
        <w:rPr>
          <w:rFonts w:hint="eastAsia"/>
        </w:rPr>
        <w:t>1</w:t>
      </w:r>
      <w:r>
        <w:t>20</w:t>
      </w:r>
      <w:r>
        <w:rPr>
          <w:rFonts w:hint="eastAsia"/>
        </w:rPr>
        <w:t>株。</w:t>
      </w:r>
    </w:p>
    <w:p w14:paraId="4502E2FB" w14:textId="77777777" w:rsidR="00BF439B" w:rsidRDefault="002A085F">
      <w:pPr>
        <w:ind w:firstLine="560"/>
        <w:jc w:val="center"/>
        <w:rPr>
          <w:sz w:val="28"/>
          <w:szCs w:val="28"/>
        </w:rPr>
      </w:pPr>
      <w:r>
        <w:rPr>
          <w:rFonts w:hint="eastAsia"/>
          <w:sz w:val="28"/>
          <w:szCs w:val="28"/>
        </w:rPr>
        <w:t>表</w:t>
      </w:r>
      <w:r>
        <w:rPr>
          <w:rFonts w:hint="eastAsia"/>
          <w:sz w:val="28"/>
          <w:szCs w:val="28"/>
        </w:rPr>
        <w:t xml:space="preserve">2 </w:t>
      </w:r>
      <w:r>
        <w:rPr>
          <w:rFonts w:hint="eastAsia"/>
          <w:sz w:val="28"/>
          <w:szCs w:val="28"/>
        </w:rPr>
        <w:t>主要林分不同发育阶段下目标树合理保留株数对应表</w:t>
      </w:r>
    </w:p>
    <w:p w14:paraId="1ACA8CFB" w14:textId="77777777" w:rsidR="00BF439B" w:rsidRDefault="002A085F">
      <w:pPr>
        <w:autoSpaceDE w:val="0"/>
        <w:autoSpaceDN w:val="0"/>
        <w:adjustRightInd w:val="0"/>
        <w:ind w:firstLine="560"/>
        <w:jc w:val="right"/>
        <w:rPr>
          <w:rFonts w:ascii="仿宋" w:eastAsia="仿宋" w:hAnsi="仿宋"/>
          <w:sz w:val="28"/>
          <w:szCs w:val="28"/>
        </w:rPr>
      </w:pPr>
      <w:r>
        <w:rPr>
          <w:rFonts w:ascii="仿宋" w:eastAsia="仿宋" w:hAnsi="仿宋" w:hint="eastAsia"/>
          <w:sz w:val="28"/>
          <w:szCs w:val="28"/>
        </w:rPr>
        <w:t>单位：株</w:t>
      </w:r>
      <w:r>
        <w:rPr>
          <w:rFonts w:ascii="仿宋" w:eastAsia="仿宋" w:hAnsi="仿宋" w:hint="eastAsia"/>
          <w:sz w:val="28"/>
          <w:szCs w:val="28"/>
        </w:rPr>
        <w:t>/hm</w:t>
      </w:r>
      <w:r>
        <w:rPr>
          <w:rFonts w:ascii="仿宋" w:eastAsia="仿宋" w:hAnsi="仿宋"/>
          <w:sz w:val="28"/>
          <w:szCs w:val="28"/>
          <w:vertAlign w:val="superscript"/>
        </w:rPr>
        <w:t>2</w:t>
      </w:r>
    </w:p>
    <w:tbl>
      <w:tblPr>
        <w:tblStyle w:val="aff"/>
        <w:tblW w:w="9209" w:type="dxa"/>
        <w:jc w:val="center"/>
        <w:tblLook w:val="04A0" w:firstRow="1" w:lastRow="0" w:firstColumn="1" w:lastColumn="0" w:noHBand="0" w:noVBand="1"/>
      </w:tblPr>
      <w:tblGrid>
        <w:gridCol w:w="1781"/>
        <w:gridCol w:w="1797"/>
        <w:gridCol w:w="2087"/>
        <w:gridCol w:w="2127"/>
        <w:gridCol w:w="1417"/>
      </w:tblGrid>
      <w:tr w:rsidR="00BF439B" w14:paraId="3B47D5C5" w14:textId="77777777">
        <w:trPr>
          <w:trHeight w:val="289"/>
          <w:jc w:val="center"/>
        </w:trPr>
        <w:tc>
          <w:tcPr>
            <w:tcW w:w="1781" w:type="dxa"/>
            <w:vMerge w:val="restart"/>
            <w:vAlign w:val="center"/>
          </w:tcPr>
          <w:p w14:paraId="678F2BD5"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优势树种</w:t>
            </w:r>
          </w:p>
        </w:tc>
        <w:tc>
          <w:tcPr>
            <w:tcW w:w="7428" w:type="dxa"/>
            <w:gridSpan w:val="4"/>
            <w:vAlign w:val="center"/>
          </w:tcPr>
          <w:p w14:paraId="7A91827C"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林分发育阶段（优势树高</w:t>
            </w:r>
            <w:r>
              <w:rPr>
                <w:rFonts w:ascii="仿宋" w:eastAsia="仿宋" w:hAnsi="仿宋" w:hint="eastAsia"/>
                <w:sz w:val="24"/>
              </w:rPr>
              <w:t>H</w:t>
            </w:r>
            <w:r>
              <w:rPr>
                <w:rFonts w:ascii="仿宋" w:eastAsia="仿宋" w:hAnsi="仿宋" w:hint="eastAsia"/>
                <w:sz w:val="24"/>
              </w:rPr>
              <w:t>）</w:t>
            </w:r>
          </w:p>
        </w:tc>
      </w:tr>
      <w:tr w:rsidR="00BF439B" w14:paraId="3EFBE4A6" w14:textId="77777777">
        <w:trPr>
          <w:trHeight w:val="732"/>
          <w:jc w:val="center"/>
        </w:trPr>
        <w:tc>
          <w:tcPr>
            <w:tcW w:w="1781" w:type="dxa"/>
            <w:vMerge/>
            <w:vAlign w:val="center"/>
          </w:tcPr>
          <w:p w14:paraId="4DE0B0D2" w14:textId="77777777" w:rsidR="00BF439B" w:rsidRDefault="00BF439B">
            <w:pPr>
              <w:autoSpaceDE w:val="0"/>
              <w:autoSpaceDN w:val="0"/>
              <w:adjustRightInd w:val="0"/>
              <w:spacing w:line="240" w:lineRule="atLeast"/>
              <w:ind w:firstLineChars="0" w:firstLine="0"/>
              <w:jc w:val="center"/>
              <w:rPr>
                <w:rFonts w:ascii="仿宋" w:eastAsia="仿宋" w:hAnsi="仿宋"/>
                <w:sz w:val="24"/>
              </w:rPr>
            </w:pPr>
          </w:p>
        </w:tc>
        <w:tc>
          <w:tcPr>
            <w:tcW w:w="1797" w:type="dxa"/>
            <w:vAlign w:val="center"/>
          </w:tcPr>
          <w:p w14:paraId="3FEC425A"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竞争生长阶段</w:t>
            </w:r>
          </w:p>
          <w:p w14:paraId="65BA5D45" w14:textId="77777777" w:rsidR="00BF439B" w:rsidRDefault="002A085F">
            <w:pPr>
              <w:autoSpaceDE w:val="0"/>
              <w:autoSpaceDN w:val="0"/>
              <w:adjustRightInd w:val="0"/>
              <w:spacing w:line="240" w:lineRule="atLeast"/>
              <w:ind w:firstLineChars="0" w:firstLine="0"/>
              <w:rPr>
                <w:rFonts w:ascii="仿宋" w:eastAsia="仿宋" w:hAnsi="仿宋"/>
                <w:sz w:val="24"/>
              </w:rPr>
            </w:pPr>
            <w:r>
              <w:rPr>
                <w:rFonts w:ascii="仿宋" w:eastAsia="仿宋" w:hAnsi="仿宋" w:hint="eastAsia"/>
                <w:sz w:val="24"/>
              </w:rPr>
              <w:t>（</w:t>
            </w:r>
            <w:r>
              <w:rPr>
                <w:rFonts w:ascii="仿宋" w:eastAsia="仿宋" w:hAnsi="仿宋" w:hint="eastAsia"/>
                <w:sz w:val="24"/>
              </w:rPr>
              <w:t>5m</w:t>
            </w:r>
            <w:r>
              <w:rPr>
                <w:rFonts w:ascii="仿宋" w:eastAsia="仿宋" w:hAnsi="仿宋" w:hint="eastAsia"/>
                <w:sz w:val="24"/>
              </w:rPr>
              <w:t>≤</w:t>
            </w:r>
            <w:r>
              <w:rPr>
                <w:rFonts w:ascii="仿宋" w:eastAsia="仿宋" w:hAnsi="仿宋"/>
                <w:sz w:val="24"/>
              </w:rPr>
              <w:t>H</w:t>
            </w:r>
            <w:r>
              <w:rPr>
                <w:rFonts w:ascii="仿宋" w:eastAsia="仿宋" w:hAnsi="仿宋" w:hint="eastAsia"/>
                <w:sz w:val="24"/>
              </w:rPr>
              <w:t>≤</w:t>
            </w:r>
            <w:r>
              <w:rPr>
                <w:rFonts w:ascii="仿宋" w:eastAsia="仿宋" w:hAnsi="仿宋"/>
                <w:sz w:val="24"/>
              </w:rPr>
              <w:t>10</w:t>
            </w:r>
            <w:r>
              <w:rPr>
                <w:rFonts w:ascii="仿宋" w:eastAsia="仿宋" w:hAnsi="仿宋" w:hint="eastAsia"/>
                <w:sz w:val="24"/>
              </w:rPr>
              <w:t>m</w:t>
            </w:r>
            <w:r>
              <w:rPr>
                <w:rFonts w:ascii="仿宋" w:eastAsia="仿宋" w:hAnsi="仿宋" w:hint="eastAsia"/>
                <w:sz w:val="24"/>
              </w:rPr>
              <w:t>）</w:t>
            </w:r>
          </w:p>
        </w:tc>
        <w:tc>
          <w:tcPr>
            <w:tcW w:w="2087" w:type="dxa"/>
            <w:vAlign w:val="center"/>
          </w:tcPr>
          <w:p w14:paraId="39991375"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质量选择阶段</w:t>
            </w:r>
          </w:p>
          <w:p w14:paraId="408C3EDA" w14:textId="77777777" w:rsidR="00BF439B" w:rsidRDefault="002A085F">
            <w:pPr>
              <w:autoSpaceDE w:val="0"/>
              <w:autoSpaceDN w:val="0"/>
              <w:adjustRightInd w:val="0"/>
              <w:spacing w:line="240" w:lineRule="atLeast"/>
              <w:ind w:firstLineChars="0" w:firstLine="0"/>
              <w:rPr>
                <w:rFonts w:ascii="仿宋" w:eastAsia="仿宋" w:hAnsi="仿宋"/>
                <w:sz w:val="24"/>
              </w:rPr>
            </w:pPr>
            <w:r>
              <w:rPr>
                <w:rFonts w:ascii="仿宋" w:eastAsia="仿宋" w:hAnsi="仿宋" w:hint="eastAsia"/>
                <w:sz w:val="24"/>
              </w:rPr>
              <w:t>（</w:t>
            </w:r>
            <w:r>
              <w:rPr>
                <w:rFonts w:ascii="仿宋" w:eastAsia="仿宋" w:hAnsi="仿宋"/>
                <w:sz w:val="24"/>
              </w:rPr>
              <w:t>10</w:t>
            </w:r>
            <w:r>
              <w:rPr>
                <w:rFonts w:ascii="仿宋" w:eastAsia="仿宋" w:hAnsi="仿宋" w:hint="eastAsia"/>
                <w:sz w:val="24"/>
              </w:rPr>
              <w:t>m</w:t>
            </w:r>
            <w:r>
              <w:rPr>
                <w:rFonts w:ascii="仿宋" w:eastAsia="仿宋" w:hAnsi="仿宋" w:hint="eastAsia"/>
                <w:sz w:val="24"/>
              </w:rPr>
              <w:t>＜</w:t>
            </w:r>
            <w:r>
              <w:rPr>
                <w:rFonts w:ascii="仿宋" w:eastAsia="仿宋" w:hAnsi="仿宋"/>
                <w:sz w:val="24"/>
              </w:rPr>
              <w:t>H</w:t>
            </w:r>
            <w:r>
              <w:rPr>
                <w:rFonts w:ascii="仿宋" w:eastAsia="仿宋" w:hAnsi="仿宋" w:hint="eastAsia"/>
                <w:sz w:val="24"/>
              </w:rPr>
              <w:t>≤</w:t>
            </w:r>
            <w:r>
              <w:rPr>
                <w:rFonts w:ascii="仿宋" w:eastAsia="仿宋" w:hAnsi="仿宋"/>
                <w:sz w:val="24"/>
              </w:rPr>
              <w:t>16</w:t>
            </w:r>
            <w:r>
              <w:rPr>
                <w:rFonts w:ascii="仿宋" w:eastAsia="仿宋" w:hAnsi="仿宋" w:hint="eastAsia"/>
                <w:sz w:val="24"/>
              </w:rPr>
              <w:t>m</w:t>
            </w:r>
            <w:r>
              <w:rPr>
                <w:rFonts w:ascii="仿宋" w:eastAsia="仿宋" w:hAnsi="仿宋" w:hint="eastAsia"/>
                <w:sz w:val="24"/>
              </w:rPr>
              <w:t>）</w:t>
            </w:r>
          </w:p>
        </w:tc>
        <w:tc>
          <w:tcPr>
            <w:tcW w:w="2127" w:type="dxa"/>
            <w:vAlign w:val="center"/>
          </w:tcPr>
          <w:p w14:paraId="5F5418BF"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近自然阶段</w:t>
            </w:r>
          </w:p>
          <w:p w14:paraId="38463247" w14:textId="77777777" w:rsidR="00BF439B" w:rsidRDefault="002A085F">
            <w:pPr>
              <w:autoSpaceDE w:val="0"/>
              <w:autoSpaceDN w:val="0"/>
              <w:adjustRightInd w:val="0"/>
              <w:spacing w:line="240" w:lineRule="atLeast"/>
              <w:ind w:firstLineChars="0" w:firstLine="0"/>
              <w:rPr>
                <w:rFonts w:ascii="仿宋" w:eastAsia="仿宋" w:hAnsi="仿宋"/>
                <w:sz w:val="24"/>
              </w:rPr>
            </w:pPr>
            <w:r>
              <w:rPr>
                <w:rFonts w:ascii="仿宋" w:eastAsia="仿宋" w:hAnsi="仿宋" w:hint="eastAsia"/>
                <w:sz w:val="24"/>
              </w:rPr>
              <w:t>（</w:t>
            </w:r>
            <w:r>
              <w:rPr>
                <w:rFonts w:ascii="仿宋" w:eastAsia="仿宋" w:hAnsi="仿宋" w:hint="eastAsia"/>
                <w:sz w:val="24"/>
              </w:rPr>
              <w:t>15m</w:t>
            </w:r>
            <w:r>
              <w:rPr>
                <w:rFonts w:ascii="仿宋" w:eastAsia="仿宋" w:hAnsi="仿宋" w:hint="eastAsia"/>
                <w:sz w:val="24"/>
              </w:rPr>
              <w:t>＜</w:t>
            </w:r>
            <w:r>
              <w:rPr>
                <w:rFonts w:ascii="仿宋" w:eastAsia="仿宋" w:hAnsi="仿宋"/>
                <w:sz w:val="24"/>
              </w:rPr>
              <w:t>H</w:t>
            </w:r>
            <w:r>
              <w:rPr>
                <w:rFonts w:ascii="仿宋" w:eastAsia="仿宋" w:hAnsi="仿宋" w:hint="eastAsia"/>
                <w:sz w:val="24"/>
              </w:rPr>
              <w:t>≤</w:t>
            </w:r>
            <w:r>
              <w:rPr>
                <w:rFonts w:ascii="仿宋" w:eastAsia="仿宋" w:hAnsi="仿宋"/>
                <w:sz w:val="24"/>
              </w:rPr>
              <w:t>24</w:t>
            </w:r>
            <w:r>
              <w:rPr>
                <w:rFonts w:ascii="仿宋" w:eastAsia="仿宋" w:hAnsi="仿宋" w:hint="eastAsia"/>
                <w:sz w:val="24"/>
              </w:rPr>
              <w:t>m</w:t>
            </w:r>
            <w:r>
              <w:rPr>
                <w:rFonts w:ascii="仿宋" w:eastAsia="仿宋" w:hAnsi="仿宋" w:hint="eastAsia"/>
                <w:sz w:val="24"/>
              </w:rPr>
              <w:t>）</w:t>
            </w:r>
          </w:p>
        </w:tc>
        <w:tc>
          <w:tcPr>
            <w:tcW w:w="1417" w:type="dxa"/>
            <w:vAlign w:val="center"/>
          </w:tcPr>
          <w:p w14:paraId="78038DEE"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恒续林阶段</w:t>
            </w:r>
          </w:p>
          <w:p w14:paraId="3B68CFE2"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w:t>
            </w:r>
            <w:r>
              <w:rPr>
                <w:rFonts w:ascii="仿宋" w:eastAsia="仿宋" w:hAnsi="仿宋" w:hint="eastAsia"/>
                <w:sz w:val="24"/>
              </w:rPr>
              <w:t>H</w:t>
            </w:r>
            <w:r>
              <w:rPr>
                <w:rFonts w:ascii="仿宋" w:eastAsia="仿宋" w:hAnsi="仿宋" w:hint="eastAsia"/>
                <w:sz w:val="24"/>
              </w:rPr>
              <w:t>＞</w:t>
            </w:r>
            <w:r>
              <w:rPr>
                <w:rFonts w:ascii="仿宋" w:eastAsia="仿宋" w:hAnsi="仿宋" w:hint="eastAsia"/>
                <w:sz w:val="24"/>
              </w:rPr>
              <w:t>2</w:t>
            </w:r>
            <w:r>
              <w:rPr>
                <w:rFonts w:ascii="仿宋" w:eastAsia="仿宋" w:hAnsi="仿宋"/>
                <w:sz w:val="24"/>
              </w:rPr>
              <w:t>4</w:t>
            </w:r>
            <w:r>
              <w:rPr>
                <w:rFonts w:ascii="仿宋" w:eastAsia="仿宋" w:hAnsi="仿宋" w:hint="eastAsia"/>
                <w:sz w:val="24"/>
              </w:rPr>
              <w:t>m</w:t>
            </w:r>
            <w:r>
              <w:rPr>
                <w:rFonts w:ascii="仿宋" w:eastAsia="仿宋" w:hAnsi="仿宋" w:hint="eastAsia"/>
                <w:sz w:val="24"/>
              </w:rPr>
              <w:t>）</w:t>
            </w:r>
          </w:p>
        </w:tc>
      </w:tr>
      <w:tr w:rsidR="00BF439B" w14:paraId="39B6BCCF" w14:textId="77777777">
        <w:trPr>
          <w:jc w:val="center"/>
        </w:trPr>
        <w:tc>
          <w:tcPr>
            <w:tcW w:w="1781" w:type="dxa"/>
            <w:vAlign w:val="center"/>
          </w:tcPr>
          <w:p w14:paraId="607F7C16"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湿地松、火炬松、马尾松、黄山松等</w:t>
            </w:r>
          </w:p>
        </w:tc>
        <w:tc>
          <w:tcPr>
            <w:tcW w:w="1797" w:type="dxa"/>
            <w:vAlign w:val="center"/>
          </w:tcPr>
          <w:p w14:paraId="15C83249"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2</w:t>
            </w:r>
            <w:r>
              <w:rPr>
                <w:rFonts w:ascii="仿宋" w:eastAsia="仿宋" w:hAnsi="仿宋"/>
                <w:sz w:val="24"/>
              </w:rPr>
              <w:t>00</w:t>
            </w:r>
          </w:p>
        </w:tc>
        <w:tc>
          <w:tcPr>
            <w:tcW w:w="2087" w:type="dxa"/>
            <w:vAlign w:val="center"/>
          </w:tcPr>
          <w:p w14:paraId="3C3DC946"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50</w:t>
            </w:r>
          </w:p>
        </w:tc>
        <w:tc>
          <w:tcPr>
            <w:tcW w:w="2127" w:type="dxa"/>
            <w:vAlign w:val="center"/>
          </w:tcPr>
          <w:p w14:paraId="295F6975"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00</w:t>
            </w:r>
          </w:p>
        </w:tc>
        <w:tc>
          <w:tcPr>
            <w:tcW w:w="1417" w:type="dxa"/>
            <w:vAlign w:val="center"/>
          </w:tcPr>
          <w:p w14:paraId="4C5D7DFA"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8</w:t>
            </w:r>
            <w:r>
              <w:rPr>
                <w:rFonts w:ascii="仿宋" w:eastAsia="仿宋" w:hAnsi="仿宋"/>
                <w:sz w:val="24"/>
              </w:rPr>
              <w:t>0</w:t>
            </w:r>
          </w:p>
        </w:tc>
      </w:tr>
      <w:tr w:rsidR="00BF439B" w14:paraId="7445D404" w14:textId="77777777">
        <w:trPr>
          <w:jc w:val="center"/>
        </w:trPr>
        <w:tc>
          <w:tcPr>
            <w:tcW w:w="1781" w:type="dxa"/>
            <w:vAlign w:val="center"/>
          </w:tcPr>
          <w:p w14:paraId="327614A3"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杉木、柳杉、柏木、铁杉、油杉等杉柏类树种</w:t>
            </w:r>
          </w:p>
        </w:tc>
        <w:tc>
          <w:tcPr>
            <w:tcW w:w="1797" w:type="dxa"/>
            <w:vAlign w:val="center"/>
          </w:tcPr>
          <w:p w14:paraId="770276F8"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2087" w:type="dxa"/>
            <w:vAlign w:val="center"/>
          </w:tcPr>
          <w:p w14:paraId="349B0C6B"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80</w:t>
            </w:r>
          </w:p>
        </w:tc>
        <w:tc>
          <w:tcPr>
            <w:tcW w:w="2127" w:type="dxa"/>
            <w:vAlign w:val="center"/>
          </w:tcPr>
          <w:p w14:paraId="3B383652"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20</w:t>
            </w:r>
          </w:p>
        </w:tc>
        <w:tc>
          <w:tcPr>
            <w:tcW w:w="1417" w:type="dxa"/>
            <w:vAlign w:val="center"/>
          </w:tcPr>
          <w:p w14:paraId="7688AC45"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9</w:t>
            </w:r>
            <w:r>
              <w:rPr>
                <w:rFonts w:ascii="仿宋" w:eastAsia="仿宋" w:hAnsi="仿宋"/>
                <w:sz w:val="24"/>
              </w:rPr>
              <w:t>0</w:t>
            </w:r>
          </w:p>
        </w:tc>
      </w:tr>
      <w:tr w:rsidR="00BF439B" w14:paraId="1EFC55CE" w14:textId="77777777">
        <w:trPr>
          <w:jc w:val="center"/>
        </w:trPr>
        <w:tc>
          <w:tcPr>
            <w:tcW w:w="1781" w:type="dxa"/>
            <w:vAlign w:val="center"/>
          </w:tcPr>
          <w:p w14:paraId="35E38E85"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栎、槠、栲、樟、楠、椴、榆、木荷、枫香等阔叶树种</w:t>
            </w:r>
          </w:p>
        </w:tc>
        <w:tc>
          <w:tcPr>
            <w:tcW w:w="1797" w:type="dxa"/>
            <w:vAlign w:val="center"/>
          </w:tcPr>
          <w:p w14:paraId="75DF61E6"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75</w:t>
            </w:r>
          </w:p>
        </w:tc>
        <w:tc>
          <w:tcPr>
            <w:tcW w:w="2087" w:type="dxa"/>
            <w:vAlign w:val="center"/>
          </w:tcPr>
          <w:p w14:paraId="15BBAFBD"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50</w:t>
            </w:r>
          </w:p>
        </w:tc>
        <w:tc>
          <w:tcPr>
            <w:tcW w:w="2127" w:type="dxa"/>
            <w:vAlign w:val="center"/>
          </w:tcPr>
          <w:p w14:paraId="5C51B0D0"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1</w:t>
            </w:r>
            <w:r>
              <w:rPr>
                <w:rFonts w:ascii="仿宋" w:eastAsia="仿宋" w:hAnsi="仿宋"/>
                <w:sz w:val="24"/>
              </w:rPr>
              <w:t>00</w:t>
            </w:r>
          </w:p>
        </w:tc>
        <w:tc>
          <w:tcPr>
            <w:tcW w:w="1417" w:type="dxa"/>
            <w:vAlign w:val="center"/>
          </w:tcPr>
          <w:p w14:paraId="44F8FC85" w14:textId="77777777" w:rsidR="00BF439B" w:rsidRDefault="002A085F">
            <w:pPr>
              <w:autoSpaceDE w:val="0"/>
              <w:autoSpaceDN w:val="0"/>
              <w:adjustRightInd w:val="0"/>
              <w:spacing w:line="240" w:lineRule="atLeast"/>
              <w:ind w:firstLineChars="0" w:firstLine="0"/>
              <w:jc w:val="center"/>
              <w:rPr>
                <w:rFonts w:ascii="仿宋" w:eastAsia="仿宋" w:hAnsi="仿宋"/>
                <w:sz w:val="24"/>
              </w:rPr>
            </w:pPr>
            <w:r>
              <w:rPr>
                <w:rFonts w:ascii="仿宋" w:eastAsia="仿宋" w:hAnsi="仿宋" w:hint="eastAsia"/>
                <w:sz w:val="24"/>
              </w:rPr>
              <w:t>7</w:t>
            </w:r>
            <w:r>
              <w:rPr>
                <w:rFonts w:ascii="仿宋" w:eastAsia="仿宋" w:hAnsi="仿宋"/>
                <w:sz w:val="24"/>
              </w:rPr>
              <w:t>5</w:t>
            </w:r>
          </w:p>
        </w:tc>
      </w:tr>
    </w:tbl>
    <w:p w14:paraId="5174915B" w14:textId="77777777" w:rsidR="00BF439B" w:rsidRDefault="002A085F">
      <w:pPr>
        <w:ind w:firstLine="640"/>
      </w:pPr>
      <w:r>
        <w:rPr>
          <w:rFonts w:hint="eastAsia"/>
        </w:rPr>
        <w:t>为控制目标树最优密度，促进目标树生长，按照</w:t>
      </w:r>
      <w:r>
        <w:rPr>
          <w:rFonts w:hint="eastAsia"/>
        </w:rPr>
        <w:t>G</w:t>
      </w:r>
      <w:r>
        <w:t>B/T 15781</w:t>
      </w:r>
      <w:r>
        <w:rPr>
          <w:rFonts w:hint="eastAsia"/>
        </w:rPr>
        <w:t>的规定，宜采用生长伐的方式，按干扰树、其他树的顺序进行伐除。干扰树的确立和伐除，干扰树是指对目标树生长发育造成干扰的树木，一般出现在目标树的同冠层或上冠层，或上坡位，影响目标树冠发育，应适时伐除。在目标树下冠层特别是下坡位树木对目标树生长不具有干扰作用而具有支撑和辅助作用的树木，应作为辅助木予以保留。间伐干扰树可为保留的目标树提供充足的生长空间，并收获部分木材。对影响目标树生长的干扰木进行采伐后，扩大了目标树的营养空间和生长空间，有利于目标树形成大径材。同时，由于对目标树之间的病虫害林木、基因差的林木进行了</w:t>
      </w:r>
      <w:r>
        <w:rPr>
          <w:rFonts w:hint="eastAsia"/>
        </w:rPr>
        <w:t>伐除，对影响林木生长的藤</w:t>
      </w:r>
      <w:r>
        <w:rPr>
          <w:rFonts w:hint="eastAsia"/>
        </w:rPr>
        <w:lastRenderedPageBreak/>
        <w:t>蔓进行了清理，从而改善了森林生长环境。</w:t>
      </w:r>
    </w:p>
    <w:p w14:paraId="7FF941DF" w14:textId="77777777" w:rsidR="00BF439B" w:rsidRDefault="002A085F">
      <w:pPr>
        <w:ind w:firstLine="640"/>
      </w:pPr>
      <w:r>
        <w:rPr>
          <w:rFonts w:hint="eastAsia"/>
        </w:rPr>
        <w:t>干扰树选择及伐除方式参照</w:t>
      </w:r>
      <w:r>
        <w:rPr>
          <w:rFonts w:hint="eastAsia"/>
        </w:rPr>
        <w:t>G</w:t>
      </w:r>
      <w:r>
        <w:t>B/T 15781</w:t>
      </w:r>
      <w:r>
        <w:rPr>
          <w:rFonts w:hint="eastAsia"/>
        </w:rPr>
        <w:t>《森林抚育规程》，选择对目标树生长直接产生不利影响、或显著影响林分卫生条件或需要在近期采伐的树木直接伐除。</w:t>
      </w:r>
    </w:p>
    <w:p w14:paraId="186104D8" w14:textId="77777777" w:rsidR="00BF439B" w:rsidRDefault="002A085F">
      <w:pPr>
        <w:ind w:firstLine="640"/>
      </w:pPr>
      <w:r>
        <w:rPr>
          <w:rFonts w:hint="eastAsia"/>
        </w:rPr>
        <w:t>通过研究发现，</w:t>
      </w:r>
      <w:r>
        <w:rPr>
          <w:rFonts w:hint="eastAsia"/>
        </w:rPr>
        <w:t>14</w:t>
      </w:r>
      <w:r>
        <w:rPr>
          <w:rFonts w:hint="eastAsia"/>
        </w:rPr>
        <w:t>年生马尾松人工林的树冠在采伐后</w:t>
      </w:r>
      <w:r>
        <w:rPr>
          <w:rFonts w:hint="eastAsia"/>
        </w:rPr>
        <w:t>1~3</w:t>
      </w:r>
      <w:r>
        <w:rPr>
          <w:rFonts w:hint="eastAsia"/>
        </w:rPr>
        <w:t>年呈现快速生长，胸径生长的高峰期在采伐后第</w:t>
      </w:r>
      <w:r>
        <w:rPr>
          <w:rFonts w:hint="eastAsia"/>
        </w:rPr>
        <w:t>3~5</w:t>
      </w:r>
      <w:r>
        <w:rPr>
          <w:rFonts w:hint="eastAsia"/>
        </w:rPr>
        <w:t>年。</w:t>
      </w:r>
    </w:p>
    <w:p w14:paraId="5D039D9F" w14:textId="77777777" w:rsidR="00BF439B" w:rsidRDefault="002A085F" w:rsidP="00C36F98">
      <w:pPr>
        <w:spacing w:line="240" w:lineRule="auto"/>
        <w:ind w:firstLineChars="0" w:firstLine="0"/>
        <w:jc w:val="center"/>
      </w:pPr>
      <w:r>
        <w:rPr>
          <w:noProof/>
        </w:rPr>
        <w:drawing>
          <wp:inline distT="0" distB="0" distL="0" distR="0" wp14:anchorId="0622514F" wp14:editId="35BF8FE8">
            <wp:extent cx="4533900" cy="4037330"/>
            <wp:effectExtent l="0" t="0" r="0" b="1270"/>
            <wp:docPr id="3" name="图片 3" descr="微信截图_20211126170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截图_2021112617081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533900" cy="4037330"/>
                    </a:xfrm>
                    <a:prstGeom prst="rect">
                      <a:avLst/>
                    </a:prstGeom>
                  </pic:spPr>
                </pic:pic>
              </a:graphicData>
            </a:graphic>
          </wp:inline>
        </w:drawing>
      </w:r>
    </w:p>
    <w:p w14:paraId="6EC2BDB7" w14:textId="77777777" w:rsidR="00BF439B" w:rsidRDefault="002A085F">
      <w:pPr>
        <w:ind w:firstLine="640"/>
      </w:pPr>
      <w:r>
        <w:rPr>
          <w:rFonts w:hint="eastAsia"/>
        </w:rPr>
        <w:t>马尾松开林窗能够在林内形成散射光系统的林分结构，散射光是植物进行光合作业的生理性光照，有利于林窗内正常更新并形成有效更替层。人工开设林窗增加了森林群落的丰富度，改变了林分结构，提高了资源质量，林窗开设要与林窗补充新的树种资源紧密联系起来，成为整体。</w:t>
      </w:r>
    </w:p>
    <w:p w14:paraId="3FF51755" w14:textId="77777777" w:rsidR="00BF439B" w:rsidRDefault="002A085F">
      <w:pPr>
        <w:ind w:firstLine="640"/>
      </w:pPr>
      <w:r>
        <w:rPr>
          <w:rFonts w:hint="eastAsia"/>
        </w:rPr>
        <w:t>为提高林分生产力、生物量和生物多样性，采用在马尾松</w:t>
      </w:r>
      <w:r>
        <w:rPr>
          <w:rFonts w:hint="eastAsia"/>
        </w:rPr>
        <w:lastRenderedPageBreak/>
        <w:t>纯林中补植阔叶树种的方式，形成针阔混合林。补植树种宜选择以乡土珍优阔叶树种为主、能够在林分中实现天然更新的树种。</w:t>
      </w:r>
      <w:r>
        <w:rPr>
          <w:rFonts w:hint="eastAsia"/>
        </w:rPr>
        <w:t>林下套种阔叶树种可以改善林地土壤肥力、提高林地生态效益，是改善马尾松人工林的重要措施。不同树种由于其</w:t>
      </w:r>
      <w:r>
        <w:rPr>
          <w:rFonts w:hint="eastAsia"/>
        </w:rPr>
        <w:t>生物学特性的差异，因而表现出差异。间伐强度大于</w:t>
      </w:r>
      <w:r>
        <w:rPr>
          <w:rFonts w:hint="eastAsia"/>
        </w:rPr>
        <w:t>50%</w:t>
      </w:r>
      <w:r>
        <w:rPr>
          <w:rFonts w:hint="eastAsia"/>
        </w:rPr>
        <w:t>的马尾松林下套种阳生性阔叶树种，小于</w:t>
      </w:r>
      <w:r>
        <w:rPr>
          <w:rFonts w:hint="eastAsia"/>
        </w:rPr>
        <w:t>50%</w:t>
      </w:r>
      <w:r>
        <w:rPr>
          <w:rFonts w:hint="eastAsia"/>
        </w:rPr>
        <w:t>套种耐阴性阔叶树种。</w:t>
      </w:r>
    </w:p>
    <w:p w14:paraId="388CE97A" w14:textId="77777777" w:rsidR="00BF439B" w:rsidRDefault="002A085F" w:rsidP="00C36F98">
      <w:pPr>
        <w:spacing w:line="240" w:lineRule="auto"/>
        <w:ind w:firstLineChars="0" w:firstLine="0"/>
        <w:jc w:val="center"/>
      </w:pPr>
      <w:r>
        <w:rPr>
          <w:noProof/>
        </w:rPr>
        <w:lastRenderedPageBreak/>
        <w:drawing>
          <wp:inline distT="0" distB="0" distL="0" distR="0" wp14:anchorId="2E40BF1F" wp14:editId="7F88FBC0">
            <wp:extent cx="5685790" cy="7014210"/>
            <wp:effectExtent l="0" t="0" r="0" b="0"/>
            <wp:docPr id="4" name="图片 4" descr="微信截图_2021112617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截图_2021112617282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685790" cy="7014210"/>
                    </a:xfrm>
                    <a:prstGeom prst="rect">
                      <a:avLst/>
                    </a:prstGeom>
                  </pic:spPr>
                </pic:pic>
              </a:graphicData>
            </a:graphic>
          </wp:inline>
        </w:drawing>
      </w:r>
    </w:p>
    <w:p w14:paraId="10E5BFBF" w14:textId="40F5DFA3" w:rsidR="00BF439B" w:rsidRDefault="002A085F">
      <w:pPr>
        <w:ind w:firstLine="640"/>
      </w:pPr>
      <w:r>
        <w:rPr>
          <w:rFonts w:hint="eastAsia"/>
        </w:rPr>
        <w:t>对于直径大于</w:t>
      </w:r>
      <w:r>
        <w:rPr>
          <w:rFonts w:hint="eastAsia"/>
        </w:rPr>
        <w:t>5</w:t>
      </w:r>
      <w:r>
        <w:t xml:space="preserve">0 </w:t>
      </w:r>
      <w:r>
        <w:rPr>
          <w:rFonts w:hint="eastAsia"/>
        </w:rPr>
        <w:t>cm</w:t>
      </w:r>
      <w:r>
        <w:rPr>
          <w:rFonts w:hint="eastAsia"/>
        </w:rPr>
        <w:t>的马尾松及直径大于</w:t>
      </w:r>
      <w:r>
        <w:rPr>
          <w:rFonts w:hint="eastAsia"/>
        </w:rPr>
        <w:t>6</w:t>
      </w:r>
      <w:r>
        <w:t xml:space="preserve">0 </w:t>
      </w:r>
      <w:r>
        <w:rPr>
          <w:rFonts w:hint="eastAsia"/>
        </w:rPr>
        <w:t>cm</w:t>
      </w:r>
      <w:r>
        <w:rPr>
          <w:rFonts w:hint="eastAsia"/>
        </w:rPr>
        <w:t>的乡土珍优阔叶树种可以进行伐除利用，注意对择伐后的其他目标树保护，保证多功能近自然森林健康经营。</w:t>
      </w:r>
    </w:p>
    <w:p w14:paraId="3391476F" w14:textId="77777777" w:rsidR="00C36F98" w:rsidRDefault="00C36F98">
      <w:pPr>
        <w:ind w:firstLine="640"/>
        <w:rPr>
          <w:rFonts w:hint="eastAsia"/>
        </w:rPr>
      </w:pPr>
    </w:p>
    <w:p w14:paraId="58F9AE5E" w14:textId="77777777" w:rsidR="00BF439B" w:rsidRDefault="002A085F">
      <w:pPr>
        <w:spacing w:beforeLines="100" w:before="312" w:afterLines="100" w:after="312" w:line="520" w:lineRule="exact"/>
        <w:ind w:firstLine="640"/>
        <w:rPr>
          <w:rFonts w:ascii="黑体" w:eastAsia="黑体" w:hAnsi="黑体" w:cs="仿宋_GB2312"/>
          <w:szCs w:val="32"/>
        </w:rPr>
      </w:pPr>
      <w:r>
        <w:rPr>
          <w:rFonts w:ascii="黑体" w:eastAsia="黑体" w:hAnsi="黑体" w:cs="仿宋_GB2312" w:hint="eastAsia"/>
          <w:szCs w:val="32"/>
        </w:rPr>
        <w:lastRenderedPageBreak/>
        <w:t>六、国内外同类标准制修订情况及与法律法规、强制性标准关系</w:t>
      </w:r>
    </w:p>
    <w:p w14:paraId="7DA33DE3" w14:textId="17F9A6C8" w:rsidR="00BF439B" w:rsidRDefault="002A085F">
      <w:pPr>
        <w:ind w:firstLine="640"/>
      </w:pPr>
      <w:r>
        <w:rPr>
          <w:rFonts w:hint="eastAsia"/>
        </w:rPr>
        <w:t>经查阅，与</w:t>
      </w:r>
      <w:r>
        <w:rPr>
          <w:rFonts w:hint="eastAsia"/>
        </w:rPr>
        <w:t>马尾松</w:t>
      </w:r>
      <w:r>
        <w:rPr>
          <w:rFonts w:hint="eastAsia"/>
        </w:rPr>
        <w:t>相关的国标、行标以及地方标准有《</w:t>
      </w:r>
      <w:r>
        <w:rPr>
          <w:rFonts w:hint="eastAsia"/>
        </w:rPr>
        <w:t>LY/T</w:t>
      </w:r>
      <w:r>
        <w:rPr>
          <w:rFonts w:hint="eastAsia"/>
        </w:rPr>
        <w:t xml:space="preserve"> </w:t>
      </w:r>
      <w:r>
        <w:rPr>
          <w:rFonts w:hint="eastAsia"/>
        </w:rPr>
        <w:t>1496</w:t>
      </w:r>
      <w:r w:rsidR="00C36F98">
        <w:t xml:space="preserve"> </w:t>
      </w:r>
      <w:r>
        <w:rPr>
          <w:rFonts w:hint="eastAsia"/>
        </w:rPr>
        <w:t>马尾松速生丰产林》、《</w:t>
      </w:r>
      <w:r>
        <w:rPr>
          <w:rFonts w:hint="eastAsia"/>
        </w:rPr>
        <w:t>LY/T</w:t>
      </w:r>
      <w:r w:rsidR="00C36F98">
        <w:t xml:space="preserve"> </w:t>
      </w:r>
      <w:r>
        <w:rPr>
          <w:rFonts w:hint="eastAsia"/>
        </w:rPr>
        <w:t>1675</w:t>
      </w:r>
      <w:r w:rsidR="00C36F98">
        <w:t xml:space="preserve"> </w:t>
      </w:r>
      <w:r>
        <w:rPr>
          <w:rFonts w:hint="eastAsia"/>
        </w:rPr>
        <w:t>马尾松毛虫检测与防治技术规程》</w:t>
      </w:r>
      <w:r>
        <w:rPr>
          <w:rFonts w:hint="eastAsia"/>
        </w:rPr>
        <w:t>，以上标准未涉及南亚热带马尾松人工林近自然化改造技术</w:t>
      </w:r>
      <w:r>
        <w:rPr>
          <w:rFonts w:hint="eastAsia"/>
        </w:rPr>
        <w:t>。</w:t>
      </w:r>
    </w:p>
    <w:p w14:paraId="7A8A2353" w14:textId="77777777" w:rsidR="00BF439B" w:rsidRDefault="002A085F">
      <w:pPr>
        <w:autoSpaceDE w:val="0"/>
        <w:autoSpaceDN w:val="0"/>
        <w:adjustRightInd w:val="0"/>
        <w:spacing w:beforeLines="100" w:before="312" w:afterLines="100" w:after="312" w:line="520" w:lineRule="exact"/>
        <w:ind w:firstLine="640"/>
        <w:rPr>
          <w:rFonts w:ascii="黑体" w:eastAsia="黑体" w:hAnsi="黑体" w:cs="仿宋_GB2312"/>
          <w:szCs w:val="32"/>
        </w:rPr>
      </w:pPr>
      <w:r>
        <w:rPr>
          <w:rFonts w:ascii="黑体" w:eastAsia="黑体" w:hAnsi="黑体" w:cs="仿宋_GB2312" w:hint="eastAsia"/>
          <w:szCs w:val="32"/>
        </w:rPr>
        <w:t>七、重大分歧意见的处理经过和依据</w:t>
      </w:r>
    </w:p>
    <w:p w14:paraId="207A1CB8" w14:textId="77777777" w:rsidR="00BF439B" w:rsidRDefault="002A085F">
      <w:pPr>
        <w:ind w:firstLine="640"/>
      </w:pPr>
      <w:r>
        <w:rPr>
          <w:rFonts w:hint="eastAsia"/>
        </w:rPr>
        <w:t>本文件研制过程中无重大分歧意见。</w:t>
      </w:r>
    </w:p>
    <w:p w14:paraId="07AC722C" w14:textId="77777777" w:rsidR="00BF439B" w:rsidRDefault="002A085F">
      <w:pPr>
        <w:autoSpaceDE w:val="0"/>
        <w:autoSpaceDN w:val="0"/>
        <w:adjustRightInd w:val="0"/>
        <w:spacing w:beforeLines="50" w:before="156" w:afterLines="50" w:after="156" w:line="520" w:lineRule="exact"/>
        <w:ind w:firstLine="640"/>
        <w:rPr>
          <w:rFonts w:ascii="黑体" w:eastAsia="黑体" w:hAnsi="黑体" w:cs="仿宋_GB2312"/>
          <w:szCs w:val="32"/>
        </w:rPr>
      </w:pPr>
      <w:r>
        <w:rPr>
          <w:rFonts w:ascii="黑体" w:eastAsia="黑体" w:hAnsi="黑体" w:cs="仿宋_GB2312" w:hint="eastAsia"/>
          <w:szCs w:val="32"/>
        </w:rPr>
        <w:t>八、自我声明</w:t>
      </w:r>
    </w:p>
    <w:p w14:paraId="3542057A" w14:textId="5F7FF436" w:rsidR="00BF439B" w:rsidRPr="00C36F98" w:rsidRDefault="002A085F" w:rsidP="00C36F98">
      <w:pPr>
        <w:ind w:firstLine="640"/>
        <w:rPr>
          <w:rFonts w:hint="eastAsia"/>
        </w:rPr>
      </w:pPr>
      <w:r>
        <w:rPr>
          <w:rFonts w:hint="eastAsia"/>
        </w:rPr>
        <w:t>标准内容和各项指标不低于国家强制性标准</w:t>
      </w:r>
      <w:r>
        <w:rPr>
          <w:rFonts w:hint="eastAsia"/>
        </w:rPr>
        <w:t>。</w:t>
      </w:r>
    </w:p>
    <w:p w14:paraId="40D8E6DF" w14:textId="77777777" w:rsidR="00BF439B" w:rsidRDefault="002A085F">
      <w:pPr>
        <w:ind w:firstLine="640"/>
      </w:pPr>
      <w:r>
        <w:rPr>
          <w:rFonts w:hint="eastAsia"/>
        </w:rPr>
        <w:t>团体标准《南亚热带马尾松人工林近自然化改造技术规程》</w:t>
      </w:r>
    </w:p>
    <w:p w14:paraId="5C1DD2C6" w14:textId="77777777" w:rsidR="00BF439B" w:rsidRDefault="002A085F">
      <w:pPr>
        <w:ind w:firstLine="640"/>
        <w:jc w:val="right"/>
      </w:pPr>
      <w:r>
        <w:rPr>
          <w:rFonts w:hint="eastAsia"/>
        </w:rPr>
        <w:t>标准编制工作组</w:t>
      </w:r>
    </w:p>
    <w:p w14:paraId="7F2BE6FE" w14:textId="77777777" w:rsidR="00BF439B" w:rsidRDefault="002A085F">
      <w:pPr>
        <w:ind w:firstLineChars="62" w:firstLine="198"/>
        <w:jc w:val="right"/>
      </w:pPr>
      <w:r>
        <w:rPr>
          <w:rFonts w:hint="eastAsia"/>
        </w:rPr>
        <w:t>202</w:t>
      </w:r>
      <w:r>
        <w:t>1</w:t>
      </w:r>
      <w:r>
        <w:rPr>
          <w:rFonts w:hint="eastAsia"/>
        </w:rPr>
        <w:t>年</w:t>
      </w:r>
      <w:r>
        <w:rPr>
          <w:rFonts w:hint="eastAsia"/>
        </w:rPr>
        <w:t>11</w:t>
      </w:r>
      <w:r>
        <w:rPr>
          <w:rFonts w:hint="eastAsia"/>
        </w:rPr>
        <w:t>月</w:t>
      </w:r>
      <w:r>
        <w:rPr>
          <w:rFonts w:hint="eastAsia"/>
        </w:rPr>
        <w:t>26</w:t>
      </w:r>
      <w:r>
        <w:rPr>
          <w:rFonts w:hint="eastAsia"/>
        </w:rPr>
        <w:t>日</w:t>
      </w:r>
    </w:p>
    <w:sectPr w:rsidR="00BF439B">
      <w:headerReference w:type="even" r:id="rId11"/>
      <w:headerReference w:type="default" r:id="rId12"/>
      <w:footerReference w:type="even" r:id="rId13"/>
      <w:footerReference w:type="default" r:id="rId14"/>
      <w:headerReference w:type="first" r:id="rId15"/>
      <w:footerReference w:type="first" r:id="rId16"/>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B36D" w14:textId="77777777" w:rsidR="002A085F" w:rsidRDefault="002A085F">
      <w:pPr>
        <w:spacing w:line="240" w:lineRule="auto"/>
        <w:ind w:firstLine="640"/>
      </w:pPr>
      <w:r>
        <w:separator/>
      </w:r>
    </w:p>
  </w:endnote>
  <w:endnote w:type="continuationSeparator" w:id="0">
    <w:p w14:paraId="1FA5871B" w14:textId="77777777" w:rsidR="002A085F" w:rsidRDefault="002A085F">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D0C3" w14:textId="77777777" w:rsidR="00774C21" w:rsidRDefault="00774C21">
    <w:pPr>
      <w:pStyle w:val="af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5A5B" w14:textId="77777777" w:rsidR="00BF439B" w:rsidRDefault="002A085F">
    <w:pPr>
      <w:pStyle w:val="afa"/>
      <w:ind w:firstLine="360"/>
    </w:pPr>
    <w:r>
      <w:rPr>
        <w:noProof/>
      </w:rPr>
      <mc:AlternateContent>
        <mc:Choice Requires="wps">
          <w:drawing>
            <wp:anchor distT="0" distB="0" distL="114300" distR="114300" simplePos="0" relativeHeight="251659264" behindDoc="0" locked="0" layoutInCell="1" allowOverlap="1" wp14:anchorId="7A93426E" wp14:editId="7E68666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2E562B" w14:textId="77777777" w:rsidR="00BF439B" w:rsidRDefault="002A085F">
                          <w:pPr>
                            <w:pStyle w:val="affb"/>
                            <w:ind w:firstLine="640"/>
                            <w:rPr>
                              <w:rFonts w:ascii="宋体" w:hAnsi="宋体"/>
                            </w:rPr>
                          </w:pPr>
                          <w:r>
                            <w:rPr>
                              <w:rFonts w:ascii="宋体" w:hAnsi="宋体" w:hint="eastAsia"/>
                            </w:rPr>
                            <w:fldChar w:fldCharType="begin"/>
                          </w:r>
                          <w:r>
                            <w:rPr>
                              <w:rFonts w:ascii="宋体" w:hAnsi="宋体" w:hint="eastAsia"/>
                            </w:rPr>
                            <w:instrText xml:space="preserve"> PAGE  \* MERGEFORMAT </w:instrText>
                          </w:r>
                          <w:r>
                            <w:rPr>
                              <w:rFonts w:ascii="宋体" w:hAnsi="宋体" w:hint="eastAsia"/>
                            </w:rPr>
                            <w:fldChar w:fldCharType="separate"/>
                          </w:r>
                          <w:r>
                            <w:rPr>
                              <w:rFonts w:ascii="宋体" w:hAnsi="宋体" w:hint="eastAsia"/>
                            </w:rPr>
                            <w:t>1</w:t>
                          </w:r>
                          <w:r>
                            <w:rPr>
                              <w:rFonts w:ascii="宋体" w:hAnsi="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6"/>
                      <w:ind w:firstLine="640"/>
                      <w:rPr>
                        <w:rFonts w:ascii="宋体" w:hAnsi="宋体"/>
                      </w:rPr>
                    </w:pP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B5DB1" w14:textId="77777777" w:rsidR="00774C21" w:rsidRDefault="00774C21">
    <w:pPr>
      <w:pStyle w:val="af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8175C" w14:textId="77777777" w:rsidR="002A085F" w:rsidRDefault="002A085F">
      <w:pPr>
        <w:spacing w:line="240" w:lineRule="auto"/>
        <w:ind w:firstLine="640"/>
      </w:pPr>
      <w:r>
        <w:separator/>
      </w:r>
    </w:p>
  </w:footnote>
  <w:footnote w:type="continuationSeparator" w:id="0">
    <w:p w14:paraId="66B3DC94" w14:textId="77777777" w:rsidR="002A085F" w:rsidRDefault="002A085F">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7103" w14:textId="77777777" w:rsidR="00774C21" w:rsidRDefault="00774C21">
    <w:pPr>
      <w:pStyle w:val="af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580B" w14:textId="77777777" w:rsidR="00774C21" w:rsidRDefault="00774C21">
    <w:pPr>
      <w:pStyle w:val="afc"/>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5019" w14:textId="77777777" w:rsidR="00774C21" w:rsidRDefault="00774C21">
    <w:pPr>
      <w:pStyle w:val="af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9E9"/>
    <w:multiLevelType w:val="multilevel"/>
    <w:tmpl w:val="01CC19E9"/>
    <w:lvl w:ilvl="0">
      <w:start w:val="1"/>
      <w:numFmt w:val="chineseCountingThousand"/>
      <w:pStyle w:val="a"/>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079102AD"/>
    <w:multiLevelType w:val="multilevel"/>
    <w:tmpl w:val="079102AD"/>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DDE2B46"/>
    <w:multiLevelType w:val="multilevel"/>
    <w:tmpl w:val="0DDE2B46"/>
    <w:lvl w:ilvl="0">
      <w:start w:val="1"/>
      <w:numFmt w:val="lowerLetter"/>
      <w:pStyle w:val="a1"/>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15:restartNumberingAfterBreak="0">
    <w:nsid w:val="0E8124AF"/>
    <w:multiLevelType w:val="multilevel"/>
    <w:tmpl w:val="0E8124AF"/>
    <w:lvl w:ilvl="0">
      <w:start w:val="1"/>
      <w:numFmt w:val="chineseCountingThousand"/>
      <w:pStyle w:val="a2"/>
      <w:lvlText w:val="(%1)"/>
      <w:lvlJc w:val="left"/>
      <w:pPr>
        <w:ind w:left="1063" w:hanging="420"/>
      </w:p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557C2AF5"/>
    <w:multiLevelType w:val="multilevel"/>
    <w:tmpl w:val="557C2AF5"/>
    <w:lvl w:ilvl="0">
      <w:start w:val="1"/>
      <w:numFmt w:val="decimal"/>
      <w:pStyle w:val="ac"/>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646260FA"/>
    <w:multiLevelType w:val="multilevel"/>
    <w:tmpl w:val="646260FA"/>
    <w:lvl w:ilvl="0">
      <w:start w:val="1"/>
      <w:numFmt w:val="decimal"/>
      <w:pStyle w:val="ad"/>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ABA31E8"/>
    <w:multiLevelType w:val="multilevel"/>
    <w:tmpl w:val="6ABA31E8"/>
    <w:lvl w:ilvl="0">
      <w:start w:val="1"/>
      <w:numFmt w:val="none"/>
      <w:pStyle w:val="ae"/>
      <w:lvlText w:val="%1——"/>
      <w:lvlJc w:val="left"/>
      <w:pPr>
        <w:tabs>
          <w:tab w:val="left" w:pos="851"/>
        </w:tabs>
        <w:ind w:left="851" w:hanging="426"/>
      </w:pPr>
      <w:rPr>
        <w:rFonts w:ascii="宋体" w:eastAsia="宋体" w:hAnsi="Times New Roman" w:cs="宋体" w:hint="eastAsia"/>
        <w:b w:val="0"/>
        <w:i w:val="0"/>
        <w:sz w:val="21"/>
      </w:rPr>
    </w:lvl>
    <w:lvl w:ilvl="1">
      <w:start w:val="1"/>
      <w:numFmt w:val="none"/>
      <w:lvlText w:val=""/>
      <w:lvlJc w:val="left"/>
      <w:pPr>
        <w:ind w:left="851" w:hanging="431"/>
      </w:pPr>
      <w:rPr>
        <w:rFonts w:ascii="Symbol" w:hAnsi="Symbol" w:cs="Symbol"/>
        <w:sz w:val="21"/>
      </w:rPr>
    </w:lvl>
    <w:lvl w:ilvl="2">
      <w:start w:val="1"/>
      <w:numFmt w:val="bullet"/>
      <w:lvlText w:val=""/>
      <w:lvlJc w:val="left"/>
      <w:pPr>
        <w:ind w:left="851" w:hanging="426"/>
      </w:pPr>
      <w:rPr>
        <w:rFonts w:ascii="Wingdings" w:hAnsi="Wingdings" w:cs="Wingdings" w:hint="default"/>
        <w:sz w:val="21"/>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0" w15:restartNumberingAfterBreak="0">
    <w:nsid w:val="6CEA2025"/>
    <w:multiLevelType w:val="multilevel"/>
    <w:tmpl w:val="6CEA2025"/>
    <w:lvl w:ilvl="0">
      <w:start w:val="1"/>
      <w:numFmt w:val="none"/>
      <w:pStyle w:val="af"/>
      <w:suff w:val="nothing"/>
      <w:lvlText w:val="%1"/>
      <w:lvlJc w:val="left"/>
      <w:pPr>
        <w:ind w:left="0" w:firstLine="0"/>
      </w:p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2"/>
      <w:suff w:val="nothing"/>
      <w:lvlText w:val="%1%2.%3.%4　"/>
      <w:lvlJc w:val="left"/>
      <w:pPr>
        <w:ind w:left="0"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num w:numId="1">
    <w:abstractNumId w:val="8"/>
  </w:num>
  <w:num w:numId="2">
    <w:abstractNumId w:val="7"/>
  </w:num>
  <w:num w:numId="3">
    <w:abstractNumId w:val="5"/>
  </w:num>
  <w:num w:numId="4">
    <w:abstractNumId w:val="1"/>
  </w:num>
  <w:num w:numId="5">
    <w:abstractNumId w:val="6"/>
  </w:num>
  <w:num w:numId="6">
    <w:abstractNumId w:val="4"/>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9"/>
  </w:num>
  <w:num w:numId="1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62E"/>
    <w:rsid w:val="0000457E"/>
    <w:rsid w:val="00005CA4"/>
    <w:rsid w:val="00016837"/>
    <w:rsid w:val="00021331"/>
    <w:rsid w:val="00024212"/>
    <w:rsid w:val="00024664"/>
    <w:rsid w:val="00025D80"/>
    <w:rsid w:val="00033257"/>
    <w:rsid w:val="00034233"/>
    <w:rsid w:val="00034BDB"/>
    <w:rsid w:val="0004035B"/>
    <w:rsid w:val="00047924"/>
    <w:rsid w:val="000576D0"/>
    <w:rsid w:val="00057758"/>
    <w:rsid w:val="000663FC"/>
    <w:rsid w:val="0007330D"/>
    <w:rsid w:val="00073F72"/>
    <w:rsid w:val="00080F2F"/>
    <w:rsid w:val="0009177A"/>
    <w:rsid w:val="00093E74"/>
    <w:rsid w:val="000962F6"/>
    <w:rsid w:val="000A0201"/>
    <w:rsid w:val="000A4601"/>
    <w:rsid w:val="000A77CD"/>
    <w:rsid w:val="000D0ACE"/>
    <w:rsid w:val="000D15BE"/>
    <w:rsid w:val="000D5137"/>
    <w:rsid w:val="000D6612"/>
    <w:rsid w:val="000D751C"/>
    <w:rsid w:val="000D7F33"/>
    <w:rsid w:val="000F10EB"/>
    <w:rsid w:val="000F3365"/>
    <w:rsid w:val="000F517A"/>
    <w:rsid w:val="00101D2E"/>
    <w:rsid w:val="00103B83"/>
    <w:rsid w:val="00105252"/>
    <w:rsid w:val="00106661"/>
    <w:rsid w:val="00110864"/>
    <w:rsid w:val="00110F43"/>
    <w:rsid w:val="00112415"/>
    <w:rsid w:val="00114946"/>
    <w:rsid w:val="00126CA6"/>
    <w:rsid w:val="00127EB0"/>
    <w:rsid w:val="00131B03"/>
    <w:rsid w:val="00133786"/>
    <w:rsid w:val="00134DD4"/>
    <w:rsid w:val="0015152A"/>
    <w:rsid w:val="00156663"/>
    <w:rsid w:val="001611BB"/>
    <w:rsid w:val="00183467"/>
    <w:rsid w:val="00190A64"/>
    <w:rsid w:val="001923CF"/>
    <w:rsid w:val="001925FD"/>
    <w:rsid w:val="00194FE3"/>
    <w:rsid w:val="00196054"/>
    <w:rsid w:val="0019711F"/>
    <w:rsid w:val="001A3402"/>
    <w:rsid w:val="001B36E5"/>
    <w:rsid w:val="001B3B17"/>
    <w:rsid w:val="001C5F01"/>
    <w:rsid w:val="001C793C"/>
    <w:rsid w:val="001D22F0"/>
    <w:rsid w:val="001D7816"/>
    <w:rsid w:val="001E5000"/>
    <w:rsid w:val="001F241E"/>
    <w:rsid w:val="001F660A"/>
    <w:rsid w:val="00205603"/>
    <w:rsid w:val="00206B52"/>
    <w:rsid w:val="002110BA"/>
    <w:rsid w:val="002116FB"/>
    <w:rsid w:val="00214221"/>
    <w:rsid w:val="002223DD"/>
    <w:rsid w:val="002231E8"/>
    <w:rsid w:val="00223EB7"/>
    <w:rsid w:val="00231E62"/>
    <w:rsid w:val="00232769"/>
    <w:rsid w:val="002349E8"/>
    <w:rsid w:val="00244ADA"/>
    <w:rsid w:val="002465C7"/>
    <w:rsid w:val="00254F7A"/>
    <w:rsid w:val="00256FE0"/>
    <w:rsid w:val="002621E1"/>
    <w:rsid w:val="00262753"/>
    <w:rsid w:val="00262771"/>
    <w:rsid w:val="00264A7D"/>
    <w:rsid w:val="00264CE4"/>
    <w:rsid w:val="00283085"/>
    <w:rsid w:val="0029084D"/>
    <w:rsid w:val="00291EF3"/>
    <w:rsid w:val="00296AA9"/>
    <w:rsid w:val="002A085F"/>
    <w:rsid w:val="002A221D"/>
    <w:rsid w:val="002A4D06"/>
    <w:rsid w:val="002A5A04"/>
    <w:rsid w:val="002B07E3"/>
    <w:rsid w:val="002C4FFB"/>
    <w:rsid w:val="002C5534"/>
    <w:rsid w:val="002C611B"/>
    <w:rsid w:val="002C73B6"/>
    <w:rsid w:val="002D6D1E"/>
    <w:rsid w:val="002E073F"/>
    <w:rsid w:val="002E7A35"/>
    <w:rsid w:val="002F34AA"/>
    <w:rsid w:val="002F4D7B"/>
    <w:rsid w:val="002F513F"/>
    <w:rsid w:val="003025DF"/>
    <w:rsid w:val="00303E23"/>
    <w:rsid w:val="00306925"/>
    <w:rsid w:val="0031194A"/>
    <w:rsid w:val="00312E9D"/>
    <w:rsid w:val="003144B8"/>
    <w:rsid w:val="0033375C"/>
    <w:rsid w:val="003377FF"/>
    <w:rsid w:val="0034090F"/>
    <w:rsid w:val="00343C24"/>
    <w:rsid w:val="00345BCC"/>
    <w:rsid w:val="00353735"/>
    <w:rsid w:val="00357A1D"/>
    <w:rsid w:val="00357E18"/>
    <w:rsid w:val="0036001E"/>
    <w:rsid w:val="00362F10"/>
    <w:rsid w:val="00373BAD"/>
    <w:rsid w:val="00382AB2"/>
    <w:rsid w:val="00392E22"/>
    <w:rsid w:val="003B5050"/>
    <w:rsid w:val="003C483D"/>
    <w:rsid w:val="003D5CB5"/>
    <w:rsid w:val="003E330B"/>
    <w:rsid w:val="003E4A86"/>
    <w:rsid w:val="003F284D"/>
    <w:rsid w:val="003F28D0"/>
    <w:rsid w:val="003F3119"/>
    <w:rsid w:val="003F3AAC"/>
    <w:rsid w:val="003F727B"/>
    <w:rsid w:val="0040035D"/>
    <w:rsid w:val="00404BD1"/>
    <w:rsid w:val="00406A80"/>
    <w:rsid w:val="0042062E"/>
    <w:rsid w:val="00424FCB"/>
    <w:rsid w:val="00425860"/>
    <w:rsid w:val="00434E46"/>
    <w:rsid w:val="00434F90"/>
    <w:rsid w:val="004370F4"/>
    <w:rsid w:val="0044118D"/>
    <w:rsid w:val="004441BD"/>
    <w:rsid w:val="004503F4"/>
    <w:rsid w:val="00455661"/>
    <w:rsid w:val="00456503"/>
    <w:rsid w:val="00456BD6"/>
    <w:rsid w:val="0046025A"/>
    <w:rsid w:val="00460359"/>
    <w:rsid w:val="004605D8"/>
    <w:rsid w:val="004626AF"/>
    <w:rsid w:val="00465230"/>
    <w:rsid w:val="00467DEF"/>
    <w:rsid w:val="004805D0"/>
    <w:rsid w:val="00480BA1"/>
    <w:rsid w:val="0048357F"/>
    <w:rsid w:val="00484EF3"/>
    <w:rsid w:val="00485212"/>
    <w:rsid w:val="004865C9"/>
    <w:rsid w:val="0049011A"/>
    <w:rsid w:val="00491FE3"/>
    <w:rsid w:val="0049390C"/>
    <w:rsid w:val="004A25C4"/>
    <w:rsid w:val="004A614E"/>
    <w:rsid w:val="004A660C"/>
    <w:rsid w:val="004A76AB"/>
    <w:rsid w:val="004B2E7F"/>
    <w:rsid w:val="004C4136"/>
    <w:rsid w:val="004D5B22"/>
    <w:rsid w:val="004E29E5"/>
    <w:rsid w:val="004F0593"/>
    <w:rsid w:val="004F48C2"/>
    <w:rsid w:val="004F74F0"/>
    <w:rsid w:val="00505469"/>
    <w:rsid w:val="00507448"/>
    <w:rsid w:val="0051028F"/>
    <w:rsid w:val="0051148B"/>
    <w:rsid w:val="00514C97"/>
    <w:rsid w:val="005159F5"/>
    <w:rsid w:val="00521916"/>
    <w:rsid w:val="005245E1"/>
    <w:rsid w:val="00526200"/>
    <w:rsid w:val="005269CF"/>
    <w:rsid w:val="00535AC6"/>
    <w:rsid w:val="005365B0"/>
    <w:rsid w:val="00537550"/>
    <w:rsid w:val="005639F8"/>
    <w:rsid w:val="005656AA"/>
    <w:rsid w:val="00566935"/>
    <w:rsid w:val="005742DB"/>
    <w:rsid w:val="00577C08"/>
    <w:rsid w:val="005802BD"/>
    <w:rsid w:val="0058151C"/>
    <w:rsid w:val="00581CE7"/>
    <w:rsid w:val="005870E5"/>
    <w:rsid w:val="005873D6"/>
    <w:rsid w:val="00596702"/>
    <w:rsid w:val="005A4523"/>
    <w:rsid w:val="005A4707"/>
    <w:rsid w:val="005B0CDC"/>
    <w:rsid w:val="005B7B7E"/>
    <w:rsid w:val="005D06D6"/>
    <w:rsid w:val="005D1EE1"/>
    <w:rsid w:val="005D2AEE"/>
    <w:rsid w:val="005D3F96"/>
    <w:rsid w:val="005D5DDF"/>
    <w:rsid w:val="005D6A5C"/>
    <w:rsid w:val="005E05D4"/>
    <w:rsid w:val="005E207A"/>
    <w:rsid w:val="005E2143"/>
    <w:rsid w:val="005F0995"/>
    <w:rsid w:val="005F1E35"/>
    <w:rsid w:val="005F36D9"/>
    <w:rsid w:val="005F6C71"/>
    <w:rsid w:val="005F71EC"/>
    <w:rsid w:val="0060656D"/>
    <w:rsid w:val="00606B5A"/>
    <w:rsid w:val="00610884"/>
    <w:rsid w:val="006254BD"/>
    <w:rsid w:val="0062702A"/>
    <w:rsid w:val="006404F1"/>
    <w:rsid w:val="0064449B"/>
    <w:rsid w:val="0064450E"/>
    <w:rsid w:val="006467C4"/>
    <w:rsid w:val="00651C9C"/>
    <w:rsid w:val="00654D8C"/>
    <w:rsid w:val="006555D8"/>
    <w:rsid w:val="006610FC"/>
    <w:rsid w:val="006670DB"/>
    <w:rsid w:val="00667C57"/>
    <w:rsid w:val="006767E0"/>
    <w:rsid w:val="006811BF"/>
    <w:rsid w:val="00682D7C"/>
    <w:rsid w:val="00682FAD"/>
    <w:rsid w:val="0068494D"/>
    <w:rsid w:val="006945D3"/>
    <w:rsid w:val="006A1BD7"/>
    <w:rsid w:val="006A3112"/>
    <w:rsid w:val="006B09C9"/>
    <w:rsid w:val="006B1080"/>
    <w:rsid w:val="006C0CC1"/>
    <w:rsid w:val="006C1416"/>
    <w:rsid w:val="006C6B87"/>
    <w:rsid w:val="006C70ED"/>
    <w:rsid w:val="006D4CCC"/>
    <w:rsid w:val="006D5D5F"/>
    <w:rsid w:val="006E10D8"/>
    <w:rsid w:val="006E155C"/>
    <w:rsid w:val="006F77F7"/>
    <w:rsid w:val="00700D32"/>
    <w:rsid w:val="0070138D"/>
    <w:rsid w:val="0070730B"/>
    <w:rsid w:val="00712BC5"/>
    <w:rsid w:val="00716EAC"/>
    <w:rsid w:val="00720395"/>
    <w:rsid w:val="00720F76"/>
    <w:rsid w:val="0072448B"/>
    <w:rsid w:val="00726016"/>
    <w:rsid w:val="00733F02"/>
    <w:rsid w:val="0075401E"/>
    <w:rsid w:val="00755471"/>
    <w:rsid w:val="007556A8"/>
    <w:rsid w:val="007563E9"/>
    <w:rsid w:val="00760DDA"/>
    <w:rsid w:val="00764CE5"/>
    <w:rsid w:val="00774C21"/>
    <w:rsid w:val="00776FE6"/>
    <w:rsid w:val="007812EA"/>
    <w:rsid w:val="00781F1A"/>
    <w:rsid w:val="00782C84"/>
    <w:rsid w:val="007912E9"/>
    <w:rsid w:val="007923BD"/>
    <w:rsid w:val="00793820"/>
    <w:rsid w:val="007970C7"/>
    <w:rsid w:val="00797654"/>
    <w:rsid w:val="007A022B"/>
    <w:rsid w:val="007A1A73"/>
    <w:rsid w:val="007A36E9"/>
    <w:rsid w:val="007A5B26"/>
    <w:rsid w:val="007A710B"/>
    <w:rsid w:val="007B05C0"/>
    <w:rsid w:val="007B4614"/>
    <w:rsid w:val="007B7812"/>
    <w:rsid w:val="007C0F01"/>
    <w:rsid w:val="007C4C1F"/>
    <w:rsid w:val="007D4356"/>
    <w:rsid w:val="007D520B"/>
    <w:rsid w:val="007D6192"/>
    <w:rsid w:val="007D646F"/>
    <w:rsid w:val="007E0035"/>
    <w:rsid w:val="007F05BA"/>
    <w:rsid w:val="007F17C2"/>
    <w:rsid w:val="007F3051"/>
    <w:rsid w:val="007F445F"/>
    <w:rsid w:val="007F69C4"/>
    <w:rsid w:val="00805B1A"/>
    <w:rsid w:val="00812666"/>
    <w:rsid w:val="00825BEF"/>
    <w:rsid w:val="008275DE"/>
    <w:rsid w:val="0083025F"/>
    <w:rsid w:val="00831A4E"/>
    <w:rsid w:val="00834F29"/>
    <w:rsid w:val="008363E8"/>
    <w:rsid w:val="00843099"/>
    <w:rsid w:val="0085555C"/>
    <w:rsid w:val="00860076"/>
    <w:rsid w:val="00864B42"/>
    <w:rsid w:val="00864EDC"/>
    <w:rsid w:val="008766A7"/>
    <w:rsid w:val="0088023F"/>
    <w:rsid w:val="008853E8"/>
    <w:rsid w:val="00890B67"/>
    <w:rsid w:val="00893361"/>
    <w:rsid w:val="00893CE3"/>
    <w:rsid w:val="008A42EB"/>
    <w:rsid w:val="008A5709"/>
    <w:rsid w:val="008B1A6F"/>
    <w:rsid w:val="008B7C56"/>
    <w:rsid w:val="008C1BE0"/>
    <w:rsid w:val="008D1502"/>
    <w:rsid w:val="008D2E6B"/>
    <w:rsid w:val="008D3059"/>
    <w:rsid w:val="008D44E2"/>
    <w:rsid w:val="008D5C1F"/>
    <w:rsid w:val="008E0C90"/>
    <w:rsid w:val="00900B1D"/>
    <w:rsid w:val="00910D7C"/>
    <w:rsid w:val="00911CE5"/>
    <w:rsid w:val="009204DB"/>
    <w:rsid w:val="0092128F"/>
    <w:rsid w:val="009220D3"/>
    <w:rsid w:val="009226F2"/>
    <w:rsid w:val="00930317"/>
    <w:rsid w:val="00933333"/>
    <w:rsid w:val="0093492F"/>
    <w:rsid w:val="00936A0A"/>
    <w:rsid w:val="0094724D"/>
    <w:rsid w:val="00954E13"/>
    <w:rsid w:val="0096452B"/>
    <w:rsid w:val="00975377"/>
    <w:rsid w:val="00981308"/>
    <w:rsid w:val="00983CDC"/>
    <w:rsid w:val="00983E62"/>
    <w:rsid w:val="00984743"/>
    <w:rsid w:val="00987A4E"/>
    <w:rsid w:val="00997A44"/>
    <w:rsid w:val="009A7254"/>
    <w:rsid w:val="009B2BF4"/>
    <w:rsid w:val="009B52A3"/>
    <w:rsid w:val="009B53BA"/>
    <w:rsid w:val="009B609B"/>
    <w:rsid w:val="009B671D"/>
    <w:rsid w:val="009B6F4E"/>
    <w:rsid w:val="009B74CD"/>
    <w:rsid w:val="009B77ED"/>
    <w:rsid w:val="009D38DB"/>
    <w:rsid w:val="009D3D0A"/>
    <w:rsid w:val="009E1F06"/>
    <w:rsid w:val="009F79E3"/>
    <w:rsid w:val="00A04E49"/>
    <w:rsid w:val="00A10236"/>
    <w:rsid w:val="00A10B7E"/>
    <w:rsid w:val="00A11E9D"/>
    <w:rsid w:val="00A25268"/>
    <w:rsid w:val="00A27AC8"/>
    <w:rsid w:val="00A34924"/>
    <w:rsid w:val="00A35F3F"/>
    <w:rsid w:val="00A40234"/>
    <w:rsid w:val="00A43D18"/>
    <w:rsid w:val="00A4496C"/>
    <w:rsid w:val="00A51BDA"/>
    <w:rsid w:val="00A52FED"/>
    <w:rsid w:val="00A547EA"/>
    <w:rsid w:val="00A54EE3"/>
    <w:rsid w:val="00A60040"/>
    <w:rsid w:val="00A64033"/>
    <w:rsid w:val="00A66230"/>
    <w:rsid w:val="00A66B33"/>
    <w:rsid w:val="00A66F1A"/>
    <w:rsid w:val="00A7226B"/>
    <w:rsid w:val="00A7330F"/>
    <w:rsid w:val="00A77FCB"/>
    <w:rsid w:val="00A80E57"/>
    <w:rsid w:val="00A928C5"/>
    <w:rsid w:val="00A955A3"/>
    <w:rsid w:val="00A958C2"/>
    <w:rsid w:val="00AA6572"/>
    <w:rsid w:val="00AB0EDD"/>
    <w:rsid w:val="00AB238D"/>
    <w:rsid w:val="00AC5DC1"/>
    <w:rsid w:val="00AC7A5A"/>
    <w:rsid w:val="00AD1275"/>
    <w:rsid w:val="00AD56BA"/>
    <w:rsid w:val="00AF00B0"/>
    <w:rsid w:val="00AF0B6E"/>
    <w:rsid w:val="00AF0C1B"/>
    <w:rsid w:val="00AF1152"/>
    <w:rsid w:val="00AF20DE"/>
    <w:rsid w:val="00AF2C7E"/>
    <w:rsid w:val="00AF365B"/>
    <w:rsid w:val="00B0152E"/>
    <w:rsid w:val="00B06F77"/>
    <w:rsid w:val="00B17EA4"/>
    <w:rsid w:val="00B22F42"/>
    <w:rsid w:val="00B2401D"/>
    <w:rsid w:val="00B27F1E"/>
    <w:rsid w:val="00B35A2B"/>
    <w:rsid w:val="00B44C87"/>
    <w:rsid w:val="00B5298A"/>
    <w:rsid w:val="00B52BC2"/>
    <w:rsid w:val="00B54B9E"/>
    <w:rsid w:val="00B602C0"/>
    <w:rsid w:val="00B65AA6"/>
    <w:rsid w:val="00B66B2E"/>
    <w:rsid w:val="00B736AC"/>
    <w:rsid w:val="00B753D4"/>
    <w:rsid w:val="00B804DA"/>
    <w:rsid w:val="00B91C42"/>
    <w:rsid w:val="00BB0ED6"/>
    <w:rsid w:val="00BB1C0A"/>
    <w:rsid w:val="00BB4B74"/>
    <w:rsid w:val="00BB6FED"/>
    <w:rsid w:val="00BC41B2"/>
    <w:rsid w:val="00BC45B6"/>
    <w:rsid w:val="00BC4F9E"/>
    <w:rsid w:val="00BF1119"/>
    <w:rsid w:val="00BF439B"/>
    <w:rsid w:val="00BF5510"/>
    <w:rsid w:val="00C070A2"/>
    <w:rsid w:val="00C10D37"/>
    <w:rsid w:val="00C17E66"/>
    <w:rsid w:val="00C2256C"/>
    <w:rsid w:val="00C303A3"/>
    <w:rsid w:val="00C31C6D"/>
    <w:rsid w:val="00C31FF2"/>
    <w:rsid w:val="00C33C36"/>
    <w:rsid w:val="00C36F98"/>
    <w:rsid w:val="00C41152"/>
    <w:rsid w:val="00C424BE"/>
    <w:rsid w:val="00C44645"/>
    <w:rsid w:val="00C50A3F"/>
    <w:rsid w:val="00C6137D"/>
    <w:rsid w:val="00C61540"/>
    <w:rsid w:val="00C61B0C"/>
    <w:rsid w:val="00C67D4C"/>
    <w:rsid w:val="00C706FA"/>
    <w:rsid w:val="00C81D18"/>
    <w:rsid w:val="00C82258"/>
    <w:rsid w:val="00C82744"/>
    <w:rsid w:val="00C836D9"/>
    <w:rsid w:val="00C843F0"/>
    <w:rsid w:val="00C85F66"/>
    <w:rsid w:val="00C91048"/>
    <w:rsid w:val="00CA0CFD"/>
    <w:rsid w:val="00CA37C8"/>
    <w:rsid w:val="00CA5047"/>
    <w:rsid w:val="00CC4EE7"/>
    <w:rsid w:val="00CD0E49"/>
    <w:rsid w:val="00CD5C22"/>
    <w:rsid w:val="00CE205C"/>
    <w:rsid w:val="00CE363E"/>
    <w:rsid w:val="00CE7753"/>
    <w:rsid w:val="00CF1430"/>
    <w:rsid w:val="00CF1AE4"/>
    <w:rsid w:val="00D0046C"/>
    <w:rsid w:val="00D00979"/>
    <w:rsid w:val="00D01E3B"/>
    <w:rsid w:val="00D06EEA"/>
    <w:rsid w:val="00D11946"/>
    <w:rsid w:val="00D14F71"/>
    <w:rsid w:val="00D15612"/>
    <w:rsid w:val="00D17A89"/>
    <w:rsid w:val="00D21619"/>
    <w:rsid w:val="00D21B1B"/>
    <w:rsid w:val="00D220B5"/>
    <w:rsid w:val="00D32832"/>
    <w:rsid w:val="00D33C76"/>
    <w:rsid w:val="00D34827"/>
    <w:rsid w:val="00D41F8D"/>
    <w:rsid w:val="00D451AB"/>
    <w:rsid w:val="00D50991"/>
    <w:rsid w:val="00D578AF"/>
    <w:rsid w:val="00D57A0F"/>
    <w:rsid w:val="00D61DA0"/>
    <w:rsid w:val="00D65D7A"/>
    <w:rsid w:val="00D6793A"/>
    <w:rsid w:val="00D7347C"/>
    <w:rsid w:val="00D74D7F"/>
    <w:rsid w:val="00D80F6F"/>
    <w:rsid w:val="00D9342C"/>
    <w:rsid w:val="00D944CB"/>
    <w:rsid w:val="00DA59FA"/>
    <w:rsid w:val="00DB295F"/>
    <w:rsid w:val="00DB3826"/>
    <w:rsid w:val="00DB47DC"/>
    <w:rsid w:val="00DB74F2"/>
    <w:rsid w:val="00DC5687"/>
    <w:rsid w:val="00DC7A5D"/>
    <w:rsid w:val="00DD1CF8"/>
    <w:rsid w:val="00DD6102"/>
    <w:rsid w:val="00DD71F1"/>
    <w:rsid w:val="00DE00C5"/>
    <w:rsid w:val="00DE3FB5"/>
    <w:rsid w:val="00E00D0A"/>
    <w:rsid w:val="00E073E8"/>
    <w:rsid w:val="00E07B93"/>
    <w:rsid w:val="00E07E15"/>
    <w:rsid w:val="00E14FC5"/>
    <w:rsid w:val="00E161F8"/>
    <w:rsid w:val="00E26291"/>
    <w:rsid w:val="00E2693C"/>
    <w:rsid w:val="00E278BE"/>
    <w:rsid w:val="00E32815"/>
    <w:rsid w:val="00E34B62"/>
    <w:rsid w:val="00E40596"/>
    <w:rsid w:val="00E41B77"/>
    <w:rsid w:val="00E45EC3"/>
    <w:rsid w:val="00E47C4F"/>
    <w:rsid w:val="00E541A3"/>
    <w:rsid w:val="00E637BB"/>
    <w:rsid w:val="00E638C8"/>
    <w:rsid w:val="00E658DD"/>
    <w:rsid w:val="00E65D7E"/>
    <w:rsid w:val="00E82204"/>
    <w:rsid w:val="00E8377B"/>
    <w:rsid w:val="00E83A77"/>
    <w:rsid w:val="00E8796C"/>
    <w:rsid w:val="00E90251"/>
    <w:rsid w:val="00E96877"/>
    <w:rsid w:val="00E978BF"/>
    <w:rsid w:val="00EA1188"/>
    <w:rsid w:val="00EB0752"/>
    <w:rsid w:val="00EB2C18"/>
    <w:rsid w:val="00EC0997"/>
    <w:rsid w:val="00EC2C93"/>
    <w:rsid w:val="00ED30F4"/>
    <w:rsid w:val="00ED43BB"/>
    <w:rsid w:val="00ED68E9"/>
    <w:rsid w:val="00EE0A39"/>
    <w:rsid w:val="00EE1FC2"/>
    <w:rsid w:val="00EF670C"/>
    <w:rsid w:val="00F1455B"/>
    <w:rsid w:val="00F16D36"/>
    <w:rsid w:val="00F210FD"/>
    <w:rsid w:val="00F33087"/>
    <w:rsid w:val="00F350B2"/>
    <w:rsid w:val="00F372A2"/>
    <w:rsid w:val="00F4243D"/>
    <w:rsid w:val="00F45BA7"/>
    <w:rsid w:val="00F45BE9"/>
    <w:rsid w:val="00F46308"/>
    <w:rsid w:val="00F46F4A"/>
    <w:rsid w:val="00F60788"/>
    <w:rsid w:val="00F6085C"/>
    <w:rsid w:val="00F7063D"/>
    <w:rsid w:val="00F7168A"/>
    <w:rsid w:val="00F734AD"/>
    <w:rsid w:val="00F76618"/>
    <w:rsid w:val="00F76E42"/>
    <w:rsid w:val="00F84292"/>
    <w:rsid w:val="00F85E04"/>
    <w:rsid w:val="00F92643"/>
    <w:rsid w:val="00F936B3"/>
    <w:rsid w:val="00F97F7D"/>
    <w:rsid w:val="00FA0333"/>
    <w:rsid w:val="00FA19D5"/>
    <w:rsid w:val="00FA3EE8"/>
    <w:rsid w:val="00FB3E2C"/>
    <w:rsid w:val="00FC19B9"/>
    <w:rsid w:val="00FD00A5"/>
    <w:rsid w:val="00FD4B0F"/>
    <w:rsid w:val="00FF0C09"/>
    <w:rsid w:val="00FF7DA6"/>
    <w:rsid w:val="01CE5D1C"/>
    <w:rsid w:val="039E595D"/>
    <w:rsid w:val="08083403"/>
    <w:rsid w:val="0A091F73"/>
    <w:rsid w:val="0A8504E9"/>
    <w:rsid w:val="0D3D308C"/>
    <w:rsid w:val="0D92619C"/>
    <w:rsid w:val="0F412CA9"/>
    <w:rsid w:val="0FD566D2"/>
    <w:rsid w:val="14034EB5"/>
    <w:rsid w:val="14870494"/>
    <w:rsid w:val="15085E8C"/>
    <w:rsid w:val="15174F60"/>
    <w:rsid w:val="167D7F24"/>
    <w:rsid w:val="17306AB5"/>
    <w:rsid w:val="19A054D6"/>
    <w:rsid w:val="1B0717C8"/>
    <w:rsid w:val="1BE33681"/>
    <w:rsid w:val="1C5874B3"/>
    <w:rsid w:val="21862EC6"/>
    <w:rsid w:val="23533668"/>
    <w:rsid w:val="2C4F36F5"/>
    <w:rsid w:val="2D5F22BD"/>
    <w:rsid w:val="314F023E"/>
    <w:rsid w:val="346F1E1E"/>
    <w:rsid w:val="35572B8C"/>
    <w:rsid w:val="365875C5"/>
    <w:rsid w:val="39356049"/>
    <w:rsid w:val="3F8C7277"/>
    <w:rsid w:val="3FA0222F"/>
    <w:rsid w:val="42D769B6"/>
    <w:rsid w:val="42F92CCB"/>
    <w:rsid w:val="44F600D3"/>
    <w:rsid w:val="45617704"/>
    <w:rsid w:val="48B048DB"/>
    <w:rsid w:val="4B762545"/>
    <w:rsid w:val="4BE02700"/>
    <w:rsid w:val="4C355D89"/>
    <w:rsid w:val="4C8C504C"/>
    <w:rsid w:val="4CFE380A"/>
    <w:rsid w:val="4D862B8C"/>
    <w:rsid w:val="4EF47599"/>
    <w:rsid w:val="4FE3578A"/>
    <w:rsid w:val="51811573"/>
    <w:rsid w:val="54E94B5B"/>
    <w:rsid w:val="55661639"/>
    <w:rsid w:val="55761622"/>
    <w:rsid w:val="5BD857FA"/>
    <w:rsid w:val="5E202145"/>
    <w:rsid w:val="5E777F35"/>
    <w:rsid w:val="5EA65740"/>
    <w:rsid w:val="6031647B"/>
    <w:rsid w:val="60D22077"/>
    <w:rsid w:val="63AF6BBB"/>
    <w:rsid w:val="693F388B"/>
    <w:rsid w:val="6C751800"/>
    <w:rsid w:val="6DBA21A1"/>
    <w:rsid w:val="6EBA5BC5"/>
    <w:rsid w:val="712415C1"/>
    <w:rsid w:val="736B0F46"/>
    <w:rsid w:val="740A66DB"/>
    <w:rsid w:val="7AF5051C"/>
    <w:rsid w:val="7BBA680A"/>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6E771C"/>
  <w15:docId w15:val="{9C313BD5-616A-4696-A743-8C600F3FC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6">
    <w:name w:val="Normal"/>
    <w:qFormat/>
    <w:pPr>
      <w:widowControl w:val="0"/>
      <w:spacing w:line="560" w:lineRule="exact"/>
      <w:ind w:firstLineChars="200" w:firstLine="200"/>
    </w:pPr>
    <w:rPr>
      <w:rFonts w:ascii="Times New Roman" w:eastAsia="仿宋_GB2312" w:hAnsi="Times New Roman"/>
      <w:kern w:val="2"/>
      <w:sz w:val="32"/>
      <w:szCs w:val="24"/>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afa">
    <w:name w:val="footer"/>
    <w:basedOn w:val="af6"/>
    <w:link w:val="afb"/>
    <w:qFormat/>
    <w:pPr>
      <w:tabs>
        <w:tab w:val="center" w:pos="4153"/>
        <w:tab w:val="right" w:pos="8306"/>
      </w:tabs>
      <w:snapToGrid w:val="0"/>
    </w:pPr>
    <w:rPr>
      <w:sz w:val="18"/>
      <w:szCs w:val="18"/>
    </w:rPr>
  </w:style>
  <w:style w:type="paragraph" w:styleId="afc">
    <w:name w:val="header"/>
    <w:basedOn w:val="af6"/>
    <w:link w:val="afd"/>
    <w:qFormat/>
    <w:pPr>
      <w:pBdr>
        <w:bottom w:val="single" w:sz="6" w:space="1" w:color="auto"/>
      </w:pBdr>
      <w:tabs>
        <w:tab w:val="center" w:pos="4153"/>
        <w:tab w:val="right" w:pos="8306"/>
      </w:tabs>
      <w:snapToGrid w:val="0"/>
      <w:jc w:val="center"/>
    </w:pPr>
    <w:rPr>
      <w:sz w:val="18"/>
      <w:szCs w:val="18"/>
    </w:rPr>
  </w:style>
  <w:style w:type="paragraph" w:styleId="afe">
    <w:name w:val="Normal (Web)"/>
    <w:basedOn w:val="af6"/>
    <w:uiPriority w:val="99"/>
    <w:qFormat/>
    <w:pPr>
      <w:spacing w:before="100" w:beforeAutospacing="1" w:after="100" w:afterAutospacing="1"/>
    </w:pPr>
    <w:rPr>
      <w:kern w:val="0"/>
      <w:sz w:val="24"/>
    </w:rPr>
  </w:style>
  <w:style w:type="table" w:styleId="aff">
    <w:name w:val="Table Grid"/>
    <w:basedOn w:val="af8"/>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Hyperlink"/>
    <w:basedOn w:val="af7"/>
    <w:uiPriority w:val="99"/>
    <w:unhideWhenUsed/>
    <w:qFormat/>
    <w:rPr>
      <w:color w:val="0000FF"/>
      <w:u w:val="single"/>
    </w:rPr>
  </w:style>
  <w:style w:type="paragraph" w:customStyle="1" w:styleId="aff1">
    <w:name w:val="段"/>
    <w:link w:val="Char"/>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f2">
    <w:name w:val="正文表标题"/>
    <w:next w:val="aff1"/>
    <w:qFormat/>
    <w:pPr>
      <w:spacing w:beforeLines="50" w:before="156" w:afterLines="50" w:after="156"/>
      <w:jc w:val="center"/>
    </w:pPr>
    <w:rPr>
      <w:rFonts w:ascii="黑体" w:eastAsia="黑体" w:hAnsi="Times New Roman"/>
      <w:sz w:val="21"/>
    </w:rPr>
  </w:style>
  <w:style w:type="paragraph" w:customStyle="1" w:styleId="ad">
    <w:name w:val="正文图标题"/>
    <w:next w:val="aff1"/>
    <w:qFormat/>
    <w:pPr>
      <w:numPr>
        <w:numId w:val="1"/>
      </w:numPr>
      <w:tabs>
        <w:tab w:val="left" w:pos="360"/>
      </w:tabs>
      <w:spacing w:beforeLines="50" w:before="156" w:afterLines="50" w:after="156"/>
      <w:jc w:val="center"/>
    </w:pPr>
    <w:rPr>
      <w:rFonts w:ascii="黑体" w:eastAsia="黑体" w:hAnsi="Times New Roman"/>
      <w:sz w:val="21"/>
    </w:rPr>
  </w:style>
  <w:style w:type="paragraph" w:customStyle="1" w:styleId="ac">
    <w:name w:val="其他发布日期"/>
    <w:basedOn w:val="af6"/>
    <w:qFormat/>
    <w:pPr>
      <w:framePr w:w="3997" w:h="471" w:hRule="exact" w:vSpace="181" w:wrap="around" w:vAnchor="page" w:hAnchor="page" w:x="1419" w:y="14097" w:anchorLock="1"/>
      <w:widowControl/>
      <w:numPr>
        <w:numId w:val="2"/>
      </w:numPr>
    </w:pPr>
    <w:rPr>
      <w:rFonts w:eastAsia="黑体"/>
      <w:kern w:val="0"/>
      <w:sz w:val="28"/>
      <w:szCs w:val="20"/>
    </w:rPr>
  </w:style>
  <w:style w:type="paragraph" w:customStyle="1" w:styleId="a5">
    <w:name w:val="一级条标题"/>
    <w:next w:val="aff1"/>
    <w:qFormat/>
    <w:pPr>
      <w:numPr>
        <w:ilvl w:val="1"/>
        <w:numId w:val="3"/>
      </w:numPr>
      <w:spacing w:beforeLines="50" w:before="156" w:afterLines="50" w:after="156"/>
      <w:outlineLvl w:val="2"/>
    </w:pPr>
    <w:rPr>
      <w:rFonts w:ascii="黑体" w:eastAsia="黑体" w:hAnsi="Times New Roman"/>
      <w:sz w:val="21"/>
      <w:szCs w:val="21"/>
    </w:rPr>
  </w:style>
  <w:style w:type="paragraph" w:customStyle="1" w:styleId="a4">
    <w:name w:val="章标题"/>
    <w:next w:val="aff1"/>
    <w:qFormat/>
    <w:pPr>
      <w:numPr>
        <w:numId w:val="3"/>
      </w:numPr>
      <w:spacing w:beforeLines="100" w:before="312" w:afterLines="100" w:after="312"/>
      <w:jc w:val="both"/>
      <w:outlineLvl w:val="1"/>
    </w:pPr>
    <w:rPr>
      <w:rFonts w:ascii="黑体" w:eastAsia="黑体" w:hAnsi="Times New Roman"/>
      <w:sz w:val="21"/>
    </w:rPr>
  </w:style>
  <w:style w:type="paragraph" w:customStyle="1" w:styleId="a6">
    <w:name w:val="二级条标题"/>
    <w:basedOn w:val="a5"/>
    <w:next w:val="aff1"/>
    <w:qFormat/>
    <w:pPr>
      <w:numPr>
        <w:ilvl w:val="2"/>
      </w:numPr>
      <w:spacing w:before="50" w:after="50"/>
      <w:outlineLvl w:val="3"/>
    </w:pPr>
  </w:style>
  <w:style w:type="paragraph" w:customStyle="1" w:styleId="a7">
    <w:name w:val="三级条标题"/>
    <w:basedOn w:val="a6"/>
    <w:next w:val="aff1"/>
    <w:qFormat/>
    <w:pPr>
      <w:numPr>
        <w:ilvl w:val="3"/>
      </w:numPr>
      <w:outlineLvl w:val="4"/>
    </w:pPr>
  </w:style>
  <w:style w:type="paragraph" w:customStyle="1" w:styleId="a8">
    <w:name w:val="四级条标题"/>
    <w:basedOn w:val="a7"/>
    <w:next w:val="aff1"/>
    <w:qFormat/>
    <w:pPr>
      <w:numPr>
        <w:ilvl w:val="4"/>
      </w:numPr>
      <w:outlineLvl w:val="5"/>
    </w:pPr>
  </w:style>
  <w:style w:type="paragraph" w:customStyle="1" w:styleId="a9">
    <w:name w:val="五级条标题"/>
    <w:basedOn w:val="a8"/>
    <w:next w:val="aff1"/>
    <w:qFormat/>
    <w:pPr>
      <w:numPr>
        <w:ilvl w:val="5"/>
      </w:numPr>
      <w:outlineLvl w:val="6"/>
    </w:pPr>
  </w:style>
  <w:style w:type="paragraph" w:customStyle="1" w:styleId="a0">
    <w:name w:val="注："/>
    <w:next w:val="aff1"/>
    <w:qFormat/>
    <w:pPr>
      <w:widowControl w:val="0"/>
      <w:numPr>
        <w:numId w:val="4"/>
      </w:numPr>
      <w:autoSpaceDE w:val="0"/>
      <w:autoSpaceDN w:val="0"/>
      <w:ind w:left="726" w:hanging="363"/>
      <w:jc w:val="both"/>
    </w:pPr>
    <w:rPr>
      <w:rFonts w:ascii="宋体" w:hAnsi="Times New Roman"/>
      <w:sz w:val="18"/>
      <w:szCs w:val="18"/>
    </w:rPr>
  </w:style>
  <w:style w:type="paragraph" w:customStyle="1" w:styleId="aa">
    <w:name w:val="附录图标号"/>
    <w:basedOn w:val="af6"/>
    <w:qFormat/>
    <w:pPr>
      <w:keepNext/>
      <w:pageBreakBefore/>
      <w:widowControl/>
      <w:numPr>
        <w:numId w:val="5"/>
      </w:numPr>
      <w:spacing w:line="14" w:lineRule="exact"/>
      <w:ind w:left="0" w:firstLine="363"/>
      <w:jc w:val="center"/>
      <w:outlineLvl w:val="0"/>
    </w:pPr>
    <w:rPr>
      <w:color w:val="FFFFFF"/>
    </w:rPr>
  </w:style>
  <w:style w:type="paragraph" w:customStyle="1" w:styleId="ab">
    <w:name w:val="附录图标题"/>
    <w:basedOn w:val="af6"/>
    <w:next w:val="aff1"/>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3">
    <w:name w:val="注×：（正文）"/>
    <w:qFormat/>
    <w:pPr>
      <w:numPr>
        <w:numId w:val="6"/>
      </w:numPr>
      <w:jc w:val="both"/>
    </w:pPr>
    <w:rPr>
      <w:rFonts w:ascii="宋体" w:hAnsi="Times New Roman"/>
      <w:sz w:val="18"/>
      <w:szCs w:val="18"/>
    </w:rPr>
  </w:style>
  <w:style w:type="paragraph" w:customStyle="1" w:styleId="a1">
    <w:name w:val="图表脚注说明"/>
    <w:basedOn w:val="af6"/>
    <w:qFormat/>
    <w:pPr>
      <w:numPr>
        <w:numId w:val="7"/>
      </w:numPr>
    </w:pPr>
    <w:rPr>
      <w:rFonts w:ascii="宋体"/>
      <w:sz w:val="18"/>
      <w:szCs w:val="18"/>
    </w:rPr>
  </w:style>
  <w:style w:type="character" w:customStyle="1" w:styleId="Char">
    <w:name w:val="段 Char"/>
    <w:basedOn w:val="af7"/>
    <w:link w:val="aff1"/>
    <w:qFormat/>
    <w:rPr>
      <w:rFonts w:ascii="宋体"/>
      <w:sz w:val="21"/>
      <w:lang w:val="en-US" w:eastAsia="zh-CN" w:bidi="ar-SA"/>
    </w:rPr>
  </w:style>
  <w:style w:type="character" w:customStyle="1" w:styleId="afd">
    <w:name w:val="页眉 字符"/>
    <w:basedOn w:val="af7"/>
    <w:link w:val="afc"/>
    <w:qFormat/>
    <w:rPr>
      <w:kern w:val="2"/>
      <w:sz w:val="18"/>
      <w:szCs w:val="18"/>
    </w:rPr>
  </w:style>
  <w:style w:type="character" w:customStyle="1" w:styleId="afb">
    <w:name w:val="页脚 字符"/>
    <w:basedOn w:val="af7"/>
    <w:link w:val="afa"/>
    <w:qFormat/>
    <w:rPr>
      <w:kern w:val="2"/>
      <w:sz w:val="18"/>
      <w:szCs w:val="18"/>
    </w:rPr>
  </w:style>
  <w:style w:type="character" w:customStyle="1" w:styleId="font11">
    <w:name w:val="font11"/>
    <w:basedOn w:val="af7"/>
    <w:qFormat/>
    <w:rPr>
      <w:rFonts w:ascii="Tahoma" w:eastAsia="Tahoma" w:hAnsi="Tahoma" w:cs="Tahoma" w:hint="default"/>
      <w:color w:val="000000"/>
      <w:sz w:val="22"/>
      <w:szCs w:val="22"/>
      <w:u w:val="none"/>
    </w:rPr>
  </w:style>
  <w:style w:type="character" w:customStyle="1" w:styleId="font01">
    <w:name w:val="font01"/>
    <w:basedOn w:val="af7"/>
    <w:qFormat/>
    <w:rPr>
      <w:rFonts w:ascii="宋体" w:eastAsia="宋体" w:hAnsi="宋体" w:cs="宋体" w:hint="eastAsia"/>
      <w:color w:val="000000"/>
      <w:sz w:val="22"/>
      <w:szCs w:val="22"/>
      <w:u w:val="none"/>
    </w:rPr>
  </w:style>
  <w:style w:type="character" w:customStyle="1" w:styleId="Char0">
    <w:name w:val="标准文件_段 Char"/>
    <w:link w:val="aff3"/>
    <w:qFormat/>
    <w:locked/>
    <w:rPr>
      <w:rFonts w:ascii="宋体"/>
      <w:sz w:val="21"/>
    </w:rPr>
  </w:style>
  <w:style w:type="paragraph" w:customStyle="1" w:styleId="aff3">
    <w:name w:val="标准文件_段"/>
    <w:link w:val="Char0"/>
    <w:qFormat/>
    <w:pPr>
      <w:autoSpaceDE w:val="0"/>
      <w:autoSpaceDN w:val="0"/>
      <w:ind w:firstLineChars="200" w:firstLine="200"/>
      <w:jc w:val="both"/>
    </w:pPr>
    <w:rPr>
      <w:rFonts w:ascii="宋体" w:hAnsi="Times New Roman"/>
      <w:sz w:val="21"/>
    </w:rPr>
  </w:style>
  <w:style w:type="paragraph" w:styleId="aff4">
    <w:name w:val="List Paragraph"/>
    <w:basedOn w:val="af6"/>
    <w:uiPriority w:val="99"/>
    <w:qFormat/>
    <w:pPr>
      <w:ind w:firstLine="420"/>
    </w:pPr>
  </w:style>
  <w:style w:type="paragraph" w:customStyle="1" w:styleId="af2">
    <w:name w:val="标准文件_二级条标题"/>
    <w:next w:val="aff3"/>
    <w:qFormat/>
    <w:pPr>
      <w:widowControl w:val="0"/>
      <w:numPr>
        <w:ilvl w:val="3"/>
        <w:numId w:val="8"/>
      </w:numPr>
      <w:spacing w:beforeLines="50" w:afterLines="50"/>
      <w:jc w:val="both"/>
      <w:outlineLvl w:val="2"/>
    </w:pPr>
    <w:rPr>
      <w:rFonts w:ascii="黑体" w:eastAsia="黑体" w:hAnsi="Times New Roman"/>
      <w:sz w:val="21"/>
    </w:rPr>
  </w:style>
  <w:style w:type="paragraph" w:customStyle="1" w:styleId="af3">
    <w:name w:val="标准文件_三级条标题"/>
    <w:basedOn w:val="af2"/>
    <w:next w:val="aff3"/>
    <w:qFormat/>
    <w:pPr>
      <w:widowControl/>
      <w:numPr>
        <w:ilvl w:val="4"/>
      </w:numPr>
      <w:outlineLvl w:val="3"/>
    </w:pPr>
  </w:style>
  <w:style w:type="paragraph" w:customStyle="1" w:styleId="af4">
    <w:name w:val="标准文件_四级条标题"/>
    <w:next w:val="aff3"/>
    <w:qFormat/>
    <w:pPr>
      <w:widowControl w:val="0"/>
      <w:numPr>
        <w:ilvl w:val="5"/>
        <w:numId w:val="8"/>
      </w:numPr>
      <w:spacing w:beforeLines="50" w:afterLines="50"/>
      <w:jc w:val="both"/>
      <w:outlineLvl w:val="4"/>
    </w:pPr>
    <w:rPr>
      <w:rFonts w:ascii="黑体" w:eastAsia="黑体" w:hAnsi="Times New Roman"/>
      <w:sz w:val="21"/>
    </w:rPr>
  </w:style>
  <w:style w:type="paragraph" w:customStyle="1" w:styleId="af5">
    <w:name w:val="标准文件_五级条标题"/>
    <w:next w:val="aff3"/>
    <w:qFormat/>
    <w:pPr>
      <w:widowControl w:val="0"/>
      <w:numPr>
        <w:ilvl w:val="6"/>
        <w:numId w:val="8"/>
      </w:numPr>
      <w:spacing w:beforeLines="50" w:afterLines="50"/>
      <w:jc w:val="both"/>
      <w:outlineLvl w:val="5"/>
    </w:pPr>
    <w:rPr>
      <w:rFonts w:ascii="黑体" w:eastAsia="黑体" w:hAnsi="Times New Roman"/>
      <w:sz w:val="21"/>
    </w:rPr>
  </w:style>
  <w:style w:type="paragraph" w:customStyle="1" w:styleId="af0">
    <w:name w:val="标准文件_章标题"/>
    <w:next w:val="aff3"/>
    <w:qFormat/>
    <w:pPr>
      <w:numPr>
        <w:ilvl w:val="1"/>
        <w:numId w:val="8"/>
      </w:numPr>
      <w:spacing w:beforeLines="100" w:afterLines="100"/>
      <w:jc w:val="both"/>
      <w:outlineLvl w:val="0"/>
    </w:pPr>
    <w:rPr>
      <w:rFonts w:ascii="黑体" w:eastAsia="黑体" w:hAnsi="Times New Roman"/>
      <w:sz w:val="21"/>
    </w:rPr>
  </w:style>
  <w:style w:type="paragraph" w:customStyle="1" w:styleId="af1">
    <w:name w:val="标准文件_一级条标题"/>
    <w:basedOn w:val="af0"/>
    <w:next w:val="aff3"/>
    <w:qFormat/>
    <w:pPr>
      <w:numPr>
        <w:ilvl w:val="2"/>
      </w:numPr>
      <w:spacing w:beforeLines="50" w:afterLines="50"/>
      <w:outlineLvl w:val="1"/>
    </w:pPr>
  </w:style>
  <w:style w:type="paragraph" w:customStyle="1" w:styleId="af">
    <w:name w:val="前言标题"/>
    <w:next w:val="af6"/>
    <w:qFormat/>
    <w:pPr>
      <w:numPr>
        <w:numId w:val="8"/>
      </w:numPr>
      <w:shd w:val="clear" w:color="auto" w:fill="FFFFFF"/>
      <w:spacing w:before="540" w:after="600"/>
      <w:jc w:val="center"/>
      <w:outlineLvl w:val="0"/>
    </w:pPr>
    <w:rPr>
      <w:rFonts w:ascii="黑体" w:eastAsia="黑体" w:hAnsi="Times New Roman"/>
      <w:sz w:val="32"/>
    </w:rPr>
  </w:style>
  <w:style w:type="paragraph" w:customStyle="1" w:styleId="aff5">
    <w:name w:val="名称（公司文件）"/>
    <w:basedOn w:val="af6"/>
    <w:link w:val="aff6"/>
    <w:qFormat/>
    <w:pPr>
      <w:spacing w:line="600" w:lineRule="exact"/>
      <w:jc w:val="center"/>
    </w:pPr>
    <w:rPr>
      <w:rFonts w:ascii="仿宋" w:eastAsia="方正仿宋简体" w:hAnsi="仿宋"/>
      <w:color w:val="000000"/>
      <w:sz w:val="44"/>
      <w:szCs w:val="32"/>
    </w:rPr>
  </w:style>
  <w:style w:type="paragraph" w:customStyle="1" w:styleId="a">
    <w:name w:val="一级标题（公司）"/>
    <w:basedOn w:val="af6"/>
    <w:link w:val="aff7"/>
    <w:qFormat/>
    <w:pPr>
      <w:numPr>
        <w:numId w:val="9"/>
      </w:numPr>
      <w:autoSpaceDE w:val="0"/>
      <w:autoSpaceDN w:val="0"/>
      <w:adjustRightInd w:val="0"/>
      <w:spacing w:beforeLines="50" w:before="50" w:afterLines="50" w:after="50"/>
      <w:ind w:left="0" w:firstLine="200"/>
    </w:pPr>
    <w:rPr>
      <w:rFonts w:ascii="黑体" w:eastAsia="黑体" w:hAnsi="黑体" w:cs="仿宋_GB2312"/>
      <w:szCs w:val="32"/>
    </w:rPr>
  </w:style>
  <w:style w:type="character" w:customStyle="1" w:styleId="aff6">
    <w:name w:val="名称（公司文件） 字符"/>
    <w:basedOn w:val="af7"/>
    <w:link w:val="aff5"/>
    <w:qFormat/>
    <w:rPr>
      <w:rFonts w:ascii="仿宋" w:eastAsia="方正仿宋简体" w:hAnsi="仿宋"/>
      <w:color w:val="000000"/>
      <w:kern w:val="2"/>
      <w:sz w:val="44"/>
      <w:szCs w:val="32"/>
    </w:rPr>
  </w:style>
  <w:style w:type="paragraph" w:customStyle="1" w:styleId="a2">
    <w:name w:val="二级标题（公司）"/>
    <w:basedOn w:val="a"/>
    <w:link w:val="aff8"/>
    <w:qFormat/>
    <w:pPr>
      <w:numPr>
        <w:numId w:val="10"/>
      </w:numPr>
      <w:ind w:left="0" w:firstLine="200"/>
    </w:pPr>
    <w:rPr>
      <w:rFonts w:ascii="仿宋" w:eastAsia="楷体" w:hAnsi="仿宋"/>
      <w:b/>
    </w:rPr>
  </w:style>
  <w:style w:type="character" w:customStyle="1" w:styleId="aff7">
    <w:name w:val="一级标题（公司） 字符"/>
    <w:basedOn w:val="af7"/>
    <w:link w:val="a"/>
    <w:qFormat/>
    <w:rPr>
      <w:rFonts w:ascii="黑体" w:eastAsia="黑体" w:hAnsi="黑体" w:cs="仿宋_GB2312"/>
      <w:kern w:val="2"/>
      <w:sz w:val="32"/>
      <w:szCs w:val="32"/>
    </w:rPr>
  </w:style>
  <w:style w:type="paragraph" w:customStyle="1" w:styleId="aff9">
    <w:name w:val="三级标题（公司）"/>
    <w:basedOn w:val="af6"/>
    <w:link w:val="affa"/>
    <w:qFormat/>
    <w:pPr>
      <w:spacing w:beforeLines="50" w:before="50" w:afterLines="50" w:after="50"/>
    </w:pPr>
    <w:rPr>
      <w:rFonts w:ascii="仿宋" w:hAnsi="仿宋"/>
      <w:b/>
      <w:szCs w:val="28"/>
    </w:rPr>
  </w:style>
  <w:style w:type="character" w:customStyle="1" w:styleId="aff8">
    <w:name w:val="二级标题（公司） 字符"/>
    <w:basedOn w:val="af7"/>
    <w:link w:val="a2"/>
    <w:qFormat/>
    <w:rPr>
      <w:rFonts w:ascii="仿宋" w:eastAsia="楷体" w:hAnsi="仿宋" w:cs="仿宋_GB2312"/>
      <w:b/>
      <w:kern w:val="2"/>
      <w:sz w:val="32"/>
      <w:szCs w:val="32"/>
    </w:rPr>
  </w:style>
  <w:style w:type="paragraph" w:customStyle="1" w:styleId="affb">
    <w:name w:val="页码（公司）"/>
    <w:basedOn w:val="afa"/>
    <w:link w:val="affc"/>
    <w:qFormat/>
    <w:rPr>
      <w:rFonts w:eastAsia="宋体"/>
      <w:sz w:val="32"/>
    </w:rPr>
  </w:style>
  <w:style w:type="character" w:customStyle="1" w:styleId="affa">
    <w:name w:val="三级标题（公司） 字符"/>
    <w:basedOn w:val="af7"/>
    <w:link w:val="aff9"/>
    <w:qFormat/>
    <w:rPr>
      <w:rFonts w:ascii="仿宋" w:eastAsia="仿宋_GB2312" w:hAnsi="仿宋"/>
      <w:b/>
      <w:kern w:val="2"/>
      <w:sz w:val="32"/>
      <w:szCs w:val="28"/>
    </w:rPr>
  </w:style>
  <w:style w:type="character" w:customStyle="1" w:styleId="affc">
    <w:name w:val="页码（公司） 字符"/>
    <w:basedOn w:val="afb"/>
    <w:link w:val="affb"/>
    <w:qFormat/>
    <w:rPr>
      <w:kern w:val="2"/>
      <w:sz w:val="32"/>
      <w:szCs w:val="18"/>
    </w:rPr>
  </w:style>
  <w:style w:type="paragraph" w:customStyle="1" w:styleId="ae">
    <w:name w:val="标准文件_一级项"/>
    <w:basedOn w:val="af6"/>
    <w:pPr>
      <w:widowControl/>
      <w:numPr>
        <w:numId w:val="11"/>
      </w:numPr>
      <w:spacing w:line="240" w:lineRule="auto"/>
    </w:pPr>
    <w:rPr>
      <w:rFonts w:ascii="宋体" w:eastAsia="宋体" w:hint="eastAsia"/>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670</Words>
  <Characters>3822</Characters>
  <Application>Microsoft Office Word</Application>
  <DocSecurity>0</DocSecurity>
  <Lines>31</Lines>
  <Paragraphs>8</Paragraphs>
  <ScaleCrop>false</ScaleCrop>
  <Company>WWW.YlmF.CoM</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Lee Qilin</cp:lastModifiedBy>
  <cp:revision>9</cp:revision>
  <cp:lastPrinted>2019-07-10T11:21:00Z</cp:lastPrinted>
  <dcterms:created xsi:type="dcterms:W3CDTF">2021-09-10T09:41:00Z</dcterms:created>
  <dcterms:modified xsi:type="dcterms:W3CDTF">2021-11-26T10:05:00Z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E4CB9CC9B53A4FDB95B8DBEECC0F548F</vt:lpwstr>
  </property>
</Properties>
</file>